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AD3" w:rsidRDefault="00EF6AD3" w:rsidP="00EF6AD3">
      <w:pPr>
        <w:pStyle w:val="BOLUMALTBASLIGI"/>
        <w:numPr>
          <w:ilvl w:val="0"/>
          <w:numId w:val="0"/>
        </w:numPr>
        <w:tabs>
          <w:tab w:val="left" w:pos="708"/>
        </w:tabs>
        <w:jc w:val="center"/>
        <w:outlineLvl w:val="0"/>
        <w:rPr>
          <w:szCs w:val="24"/>
        </w:rPr>
      </w:pPr>
      <w:bookmarkStart w:id="0" w:name="_Toc384116959"/>
      <w:r w:rsidRPr="00EF6AD3">
        <w:rPr>
          <w:szCs w:val="24"/>
        </w:rPr>
        <w:t>TEREFTALİK ASİT</w:t>
      </w:r>
      <w:r>
        <w:rPr>
          <w:szCs w:val="24"/>
        </w:rPr>
        <w:t xml:space="preserve"> (</w:t>
      </w:r>
      <w:r w:rsidRPr="00EF6AD3">
        <w:rPr>
          <w:szCs w:val="24"/>
        </w:rPr>
        <w:t>PTA</w:t>
      </w:r>
      <w:r>
        <w:rPr>
          <w:szCs w:val="24"/>
        </w:rPr>
        <w:t>) İTHALATINDA YÜRÜTÜLEN SORUŞTURMAYA İLİŞKİN ÖZET SONUÇ RAPORU</w:t>
      </w:r>
      <w:bookmarkEnd w:id="0"/>
    </w:p>
    <w:p w:rsidR="00C57870" w:rsidRPr="00C57870" w:rsidRDefault="004328B1" w:rsidP="00C57870">
      <w:pPr>
        <w:pStyle w:val="Balk2"/>
      </w:pPr>
      <w:bookmarkStart w:id="1" w:name="_Toc384116960"/>
      <w:r w:rsidRPr="00125018">
        <w:t>SORUŞTURMAYA İLİŞKİN BİLGİLER</w:t>
      </w:r>
      <w:bookmarkEnd w:id="1"/>
    </w:p>
    <w:p w:rsidR="00EF6AD3" w:rsidRPr="00125018" w:rsidRDefault="004328B1" w:rsidP="0071243E">
      <w:pPr>
        <w:pStyle w:val="Balk3"/>
      </w:pPr>
      <w:bookmarkStart w:id="2" w:name="_Toc384116961"/>
      <w:r w:rsidRPr="00125018">
        <w:t>Başvuru</w:t>
      </w:r>
      <w:r w:rsidR="00EF6AD3" w:rsidRPr="00EF6AD3">
        <w:t xml:space="preserve"> </w:t>
      </w:r>
      <w:r w:rsidR="00F86AC4">
        <w:t xml:space="preserve">ve </w:t>
      </w:r>
      <w:r w:rsidR="00F86AC4" w:rsidRPr="00125018">
        <w:t>soruşturma açılması</w:t>
      </w:r>
      <w:bookmarkEnd w:id="2"/>
      <w:r w:rsidR="00F86AC4" w:rsidRPr="00125018">
        <w:t xml:space="preserve"> </w:t>
      </w:r>
    </w:p>
    <w:p w:rsidR="004328B1" w:rsidRDefault="004328B1" w:rsidP="00EF6AD3">
      <w:pPr>
        <w:ind w:firstLine="708"/>
        <w:jc w:val="both"/>
      </w:pPr>
      <w:r w:rsidRPr="00125018">
        <w:t xml:space="preserve">Tereftalik asit ithalatında korunma önlemi uygulanmasına yönelik başvuru, </w:t>
      </w:r>
      <w:r w:rsidR="002F0AA4">
        <w:t xml:space="preserve">tek </w:t>
      </w:r>
      <w:r w:rsidRPr="00125018">
        <w:t xml:space="preserve">yerli üretici Petkim Petrokimya Holding </w:t>
      </w:r>
      <w:proofErr w:type="spellStart"/>
      <w:r w:rsidRPr="00125018">
        <w:t>A.Ş</w:t>
      </w:r>
      <w:proofErr w:type="spellEnd"/>
      <w:r w:rsidRPr="00125018">
        <w:t xml:space="preserve">. tarafından </w:t>
      </w:r>
      <w:proofErr w:type="gramStart"/>
      <w:r w:rsidR="001D3546" w:rsidRPr="001455F5">
        <w:t>6/11/2012</w:t>
      </w:r>
      <w:proofErr w:type="gramEnd"/>
      <w:r w:rsidR="001D3546" w:rsidRPr="001455F5">
        <w:t xml:space="preserve"> tarihinde </w:t>
      </w:r>
      <w:r w:rsidRPr="001455F5">
        <w:t>yapılmıştır.</w:t>
      </w:r>
      <w:r w:rsidR="00EF6AD3" w:rsidRPr="001455F5">
        <w:t xml:space="preserve"> </w:t>
      </w:r>
      <w:proofErr w:type="gramStart"/>
      <w:r w:rsidR="00EF6AD3" w:rsidRPr="001455F5">
        <w:t>8/</w:t>
      </w:r>
      <w:r w:rsidR="00EF6AD3">
        <w:t>1/2013</w:t>
      </w:r>
      <w:proofErr w:type="gramEnd"/>
      <w:r w:rsidR="00EF6AD3">
        <w:t xml:space="preserve"> tarihli ve 28522 sayılı Resmi Gazete’de yayımlanan </w:t>
      </w:r>
      <w:r w:rsidRPr="00125018">
        <w:t xml:space="preserve">İthalatta </w:t>
      </w:r>
      <w:r w:rsidR="00CF64AB" w:rsidRPr="00125018">
        <w:t>Korunma Önlemlerine İlişkin 2013</w:t>
      </w:r>
      <w:r w:rsidRPr="00125018">
        <w:t xml:space="preserve">/1 sayılı Tebliğ ile </w:t>
      </w:r>
      <w:r w:rsidR="00CF64AB" w:rsidRPr="00125018">
        <w:t>tereftalik asit</w:t>
      </w:r>
      <w:r w:rsidR="00EF6AD3">
        <w:t xml:space="preserve"> ithalatında </w:t>
      </w:r>
      <w:r w:rsidRPr="00125018">
        <w:t xml:space="preserve">korunma önlemi soruşturması açılmıştır. </w:t>
      </w:r>
    </w:p>
    <w:p w:rsidR="00AD63DB" w:rsidRDefault="00AA040C" w:rsidP="0071243E">
      <w:pPr>
        <w:pStyle w:val="Balk3"/>
      </w:pPr>
      <w:bookmarkStart w:id="3" w:name="_Toc384116962"/>
      <w:r>
        <w:t>Soruşturma Konusu Eşya</w:t>
      </w:r>
      <w:bookmarkEnd w:id="3"/>
      <w:r w:rsidR="00AD63DB">
        <w:t xml:space="preserve"> </w:t>
      </w:r>
    </w:p>
    <w:p w:rsidR="00AD63DB" w:rsidRDefault="00AD63DB" w:rsidP="00AD63DB">
      <w:pPr>
        <w:pStyle w:val="BOLUMALTBASLIGI"/>
        <w:numPr>
          <w:ilvl w:val="0"/>
          <w:numId w:val="0"/>
        </w:numPr>
        <w:tabs>
          <w:tab w:val="left" w:pos="708"/>
        </w:tabs>
        <w:ind w:firstLine="360"/>
        <w:jc w:val="both"/>
        <w:rPr>
          <w:b w:val="0"/>
        </w:rPr>
      </w:pPr>
      <w:r>
        <w:rPr>
          <w:b w:val="0"/>
        </w:rPr>
        <w:t>Soruşturma konusu eşya, saf tereftalik asittir (</w:t>
      </w:r>
      <w:r w:rsidR="00666325">
        <w:rPr>
          <w:b w:val="0"/>
        </w:rPr>
        <w:t>Purified Terephthalic Acid</w:t>
      </w:r>
      <w:r>
        <w:rPr>
          <w:b w:val="0"/>
        </w:rPr>
        <w:t>-PTA). 2014 yılı Türk Gümrük Tarife Cetveli’nde söz konusu eşya aşağıdaki şekilde sınıflandırılmaktadır.</w:t>
      </w:r>
    </w:p>
    <w:tbl>
      <w:tblPr>
        <w:tblpPr w:leftFromText="141" w:rightFromText="141" w:vertAnchor="text" w:horzAnchor="margin" w:tblpX="70" w:tblpY="9"/>
        <w:tblW w:w="5000" w:type="pct"/>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4604"/>
        <w:gridCol w:w="4608"/>
      </w:tblGrid>
      <w:tr w:rsidR="00AD63DB" w:rsidRPr="00125018" w:rsidTr="00A83B7B">
        <w:trPr>
          <w:cantSplit/>
          <w:trHeight w:val="397"/>
        </w:trPr>
        <w:tc>
          <w:tcPr>
            <w:tcW w:w="2499" w:type="pct"/>
            <w:vAlign w:val="center"/>
          </w:tcPr>
          <w:p w:rsidR="00AD63DB" w:rsidRPr="00AD63DB" w:rsidRDefault="00AD63DB" w:rsidP="00A83B7B">
            <w:pPr>
              <w:jc w:val="center"/>
              <w:rPr>
                <w:b/>
              </w:rPr>
            </w:pPr>
            <w:r w:rsidRPr="00AD63DB">
              <w:rPr>
                <w:b/>
              </w:rPr>
              <w:t>Gümrük Tarife İstatistik Pozisyonu</w:t>
            </w:r>
          </w:p>
        </w:tc>
        <w:tc>
          <w:tcPr>
            <w:tcW w:w="2501" w:type="pct"/>
            <w:vAlign w:val="center"/>
          </w:tcPr>
          <w:p w:rsidR="00AD63DB" w:rsidRPr="00AD63DB" w:rsidRDefault="00AD63DB" w:rsidP="00A83B7B">
            <w:pPr>
              <w:jc w:val="center"/>
              <w:rPr>
                <w:b/>
              </w:rPr>
            </w:pPr>
            <w:r w:rsidRPr="00AD63DB">
              <w:rPr>
                <w:b/>
              </w:rPr>
              <w:t>Eşyanın Tanımı</w:t>
            </w:r>
          </w:p>
        </w:tc>
      </w:tr>
      <w:tr w:rsidR="00AD63DB" w:rsidRPr="00125018" w:rsidTr="00A83B7B">
        <w:trPr>
          <w:cantSplit/>
          <w:trHeight w:val="397"/>
        </w:trPr>
        <w:tc>
          <w:tcPr>
            <w:tcW w:w="2499" w:type="pct"/>
            <w:vAlign w:val="center"/>
          </w:tcPr>
          <w:p w:rsidR="00AD63DB" w:rsidRPr="00125018" w:rsidRDefault="00AD63DB" w:rsidP="00A83B7B">
            <w:pPr>
              <w:jc w:val="center"/>
            </w:pPr>
            <w:r w:rsidRPr="00125018">
              <w:t>2917.36.00.00.11</w:t>
            </w:r>
          </w:p>
        </w:tc>
        <w:tc>
          <w:tcPr>
            <w:tcW w:w="2501" w:type="pct"/>
            <w:vAlign w:val="center"/>
          </w:tcPr>
          <w:p w:rsidR="00AD63DB" w:rsidRPr="00125018" w:rsidRDefault="00AD63DB" w:rsidP="00A83B7B">
            <w:pPr>
              <w:jc w:val="center"/>
            </w:pPr>
            <w:r>
              <w:t>Tereftalik asit</w:t>
            </w:r>
          </w:p>
        </w:tc>
      </w:tr>
    </w:tbl>
    <w:p w:rsidR="00AD63DB" w:rsidRDefault="00AD63DB" w:rsidP="0071243E">
      <w:pPr>
        <w:pStyle w:val="Balk3"/>
      </w:pPr>
      <w:bookmarkStart w:id="4" w:name="_Toc384116963"/>
      <w:r>
        <w:t xml:space="preserve">Benzer </w:t>
      </w:r>
      <w:r w:rsidRPr="008A3C30">
        <w:t xml:space="preserve">veya </w:t>
      </w:r>
      <w:r w:rsidR="00F86AC4" w:rsidRPr="008A3C30">
        <w:t>doğrudan rakip ürün</w:t>
      </w:r>
      <w:bookmarkEnd w:id="4"/>
    </w:p>
    <w:p w:rsidR="00AD63DB" w:rsidRDefault="00AD63DB" w:rsidP="00666325">
      <w:pPr>
        <w:ind w:firstLine="708"/>
        <w:jc w:val="both"/>
      </w:pPr>
      <w:r>
        <w:t>T</w:t>
      </w:r>
      <w:r w:rsidRPr="00125018">
        <w:t xml:space="preserve">ereftalik </w:t>
      </w:r>
      <w:proofErr w:type="spellStart"/>
      <w:r w:rsidRPr="00125018">
        <w:t>asitin</w:t>
      </w:r>
      <w:proofErr w:type="spellEnd"/>
      <w:r w:rsidRPr="00125018">
        <w:t xml:space="preserve"> yerli ve ithal olanları yoğunlukla polyester elyafı (</w:t>
      </w:r>
      <w:proofErr w:type="spellStart"/>
      <w:r w:rsidRPr="00125018">
        <w:t>dacron</w:t>
      </w:r>
      <w:proofErr w:type="spellEnd"/>
      <w:r w:rsidRPr="00125018">
        <w:t xml:space="preserve">, terilen, </w:t>
      </w:r>
      <w:proofErr w:type="spellStart"/>
      <w:r w:rsidRPr="00125018">
        <w:t>perilen</w:t>
      </w:r>
      <w:proofErr w:type="spellEnd"/>
      <w:r w:rsidRPr="00125018">
        <w:t xml:space="preserve">, </w:t>
      </w:r>
      <w:proofErr w:type="spellStart"/>
      <w:r w:rsidRPr="00125018">
        <w:t>trevira</w:t>
      </w:r>
      <w:proofErr w:type="spellEnd"/>
      <w:r w:rsidRPr="00125018">
        <w:t xml:space="preserve"> gibi ipliklerin imalinde) ve polietilen tereftalat (PET) üretiminde hammadde olarak kullanılmaktadır. </w:t>
      </w:r>
      <w:r w:rsidR="00666325">
        <w:t>B</w:t>
      </w:r>
      <w:r w:rsidRPr="00125018">
        <w:t>unun yanında, plastifiyan (</w:t>
      </w:r>
      <w:proofErr w:type="spellStart"/>
      <w:r w:rsidRPr="00125018">
        <w:t>dioktil</w:t>
      </w:r>
      <w:proofErr w:type="spellEnd"/>
      <w:r w:rsidRPr="00125018">
        <w:t xml:space="preserve"> tereftalat-</w:t>
      </w:r>
      <w:proofErr w:type="spellStart"/>
      <w:r w:rsidRPr="00125018">
        <w:t>DOTP</w:t>
      </w:r>
      <w:proofErr w:type="spellEnd"/>
      <w:r w:rsidRPr="00125018">
        <w:t xml:space="preserve">) üretiminde, polyester reçine ve polyester film yapımında kullanılmaktadır. </w:t>
      </w:r>
      <w:r>
        <w:t>B</w:t>
      </w:r>
      <w:r w:rsidRPr="00125018">
        <w:t>aşvuru konusu PTA’nın yerli ve ithal olanlarının kullanım alanları aynıdır.</w:t>
      </w:r>
      <w:r w:rsidR="00666325">
        <w:t xml:space="preserve"> </w:t>
      </w:r>
      <w:r w:rsidRPr="00647715">
        <w:t xml:space="preserve">Polyester elyaf ve PET üretiminde </w:t>
      </w:r>
      <w:proofErr w:type="spellStart"/>
      <w:r w:rsidRPr="00647715">
        <w:t>PTA’yı</w:t>
      </w:r>
      <w:proofErr w:type="spellEnd"/>
      <w:r w:rsidRPr="00647715">
        <w:t xml:space="preserve"> ikame edebilecek bir ürün bulunmadığından, PTA talebi ikame mallara olan talepten etkilenmemektedir.</w:t>
      </w:r>
      <w:r w:rsidRPr="00125018">
        <w:t xml:space="preserve">      </w:t>
      </w:r>
    </w:p>
    <w:p w:rsidR="00AD63DB" w:rsidRDefault="00AD63DB" w:rsidP="00AD63DB">
      <w:pPr>
        <w:ind w:firstLine="360"/>
        <w:jc w:val="both"/>
      </w:pPr>
    </w:p>
    <w:p w:rsidR="00AD63DB" w:rsidRDefault="00AD63DB" w:rsidP="00AD63DB">
      <w:pPr>
        <w:ind w:firstLine="708"/>
        <w:jc w:val="both"/>
      </w:pPr>
      <w:r w:rsidRPr="00125018">
        <w:t xml:space="preserve">Yerli ve ithal tereftalik asit, doğrudan üreticiler aracılığıyla ve genellikle bir önceki yıldan bağlantısı yapılan yıllık kontratlarla endüstriyel kullanıcılara sunulmaktadır. Bu itibarla, başvuru konusu ürünün yerli ve ithal olanlarının aynı dağıtım kanalı yoluyla </w:t>
      </w:r>
      <w:r w:rsidR="001D3546">
        <w:t>kullanıcılara</w:t>
      </w:r>
      <w:r w:rsidRPr="00125018">
        <w:t xml:space="preserve"> sunulduğu sonucu</w:t>
      </w:r>
      <w:r>
        <w:t xml:space="preserve"> ortaya çıkmaktadır.</w:t>
      </w:r>
    </w:p>
    <w:p w:rsidR="00AD63DB" w:rsidRPr="00125018" w:rsidRDefault="00AD63DB" w:rsidP="00AD63DB">
      <w:pPr>
        <w:ind w:firstLine="360"/>
        <w:jc w:val="both"/>
      </w:pPr>
    </w:p>
    <w:p w:rsidR="00AD63DB" w:rsidRDefault="00666325" w:rsidP="00AD63DB">
      <w:pPr>
        <w:ind w:firstLine="708"/>
        <w:jc w:val="both"/>
      </w:pPr>
      <w:r>
        <w:t>PTA üretim sürecinde öncelikle hammadde paraksilenin</w:t>
      </w:r>
      <w:r w:rsidRPr="00125018">
        <w:t xml:space="preserve"> asetik asit içinde oksidasyonu ile ham tereftalik asit (</w:t>
      </w:r>
      <w:proofErr w:type="spellStart"/>
      <w:r w:rsidRPr="00125018">
        <w:t>CTA</w:t>
      </w:r>
      <w:proofErr w:type="spellEnd"/>
      <w:r w:rsidRPr="00125018">
        <w:t xml:space="preserve">) üretilmekte, daha sonra </w:t>
      </w:r>
      <w:proofErr w:type="spellStart"/>
      <w:r w:rsidRPr="00125018">
        <w:t>CTA’nın</w:t>
      </w:r>
      <w:proofErr w:type="spellEnd"/>
      <w:r w:rsidRPr="00125018">
        <w:t xml:space="preserve"> saflaştırılması sonucunda </w:t>
      </w:r>
      <w:proofErr w:type="spellStart"/>
      <w:r>
        <w:t>PTA</w:t>
      </w:r>
      <w:proofErr w:type="spellEnd"/>
      <w:r w:rsidRPr="00125018">
        <w:t xml:space="preserve"> elde edilmektedir.</w:t>
      </w:r>
      <w:r>
        <w:t xml:space="preserve"> </w:t>
      </w:r>
      <w:r w:rsidR="00AD63DB" w:rsidRPr="00125018">
        <w:t xml:space="preserve">Yerli üretici, ABD menşeli Standart </w:t>
      </w:r>
      <w:proofErr w:type="spellStart"/>
      <w:r w:rsidR="00AD63DB" w:rsidRPr="00125018">
        <w:t>Oil</w:t>
      </w:r>
      <w:proofErr w:type="spellEnd"/>
      <w:r w:rsidR="00AD63DB" w:rsidRPr="00125018">
        <w:t xml:space="preserve"> </w:t>
      </w:r>
      <w:proofErr w:type="spellStart"/>
      <w:r w:rsidR="00AD63DB" w:rsidRPr="00125018">
        <w:t>Co</w:t>
      </w:r>
      <w:proofErr w:type="spellEnd"/>
      <w:r w:rsidR="00AD63DB" w:rsidRPr="00125018">
        <w:t>. (AMOCO) lisansı il</w:t>
      </w:r>
      <w:r w:rsidR="00F96E55">
        <w:t xml:space="preserve">e 1987 yılında işletmeye alınan, o günden bu yana verimlilik artışı ve tasarrufa yönelik iyileştirmeler yapılan </w:t>
      </w:r>
      <w:r w:rsidR="00AD63DB" w:rsidRPr="00125018">
        <w:t xml:space="preserve">fabrikasında üretimine devam etmektedir. Tereftalik </w:t>
      </w:r>
      <w:proofErr w:type="spellStart"/>
      <w:r w:rsidR="00AD63DB" w:rsidRPr="00125018">
        <w:t>asitin</w:t>
      </w:r>
      <w:proofErr w:type="spellEnd"/>
      <w:r w:rsidR="00AD63DB" w:rsidRPr="00125018">
        <w:t xml:space="preserve"> yukarıda açıklanan üretim süreci dünyada da ülkemizde olduğu gibi üretim teknolojisine sahip olan firmaların lisanları ile kurulan fabrikalarda standart bir süreç olarak gerçekleştirilmektedir. </w:t>
      </w:r>
      <w:r>
        <w:t xml:space="preserve">Her ne kadar üretim </w:t>
      </w:r>
      <w:r w:rsidR="00AD63DB" w:rsidRPr="00125018">
        <w:t>teknoloji</w:t>
      </w:r>
      <w:r>
        <w:t>si</w:t>
      </w:r>
      <w:r w:rsidR="00AD63DB" w:rsidRPr="00125018">
        <w:t xml:space="preserve"> lisans sahipleri tarafından farklı şekilde uygulansa da genel çerçeve tümünde ortaktır.</w:t>
      </w:r>
      <w:r w:rsidR="00AD63DB" w:rsidRPr="00125018">
        <w:rPr>
          <w:rStyle w:val="DipnotBavurusu"/>
        </w:rPr>
        <w:footnoteReference w:id="1"/>
      </w:r>
      <w:r w:rsidR="00AD63DB" w:rsidRPr="00125018">
        <w:t xml:space="preserve"> Bu çerçevede, yerli ve ithal </w:t>
      </w:r>
      <w:r w:rsidR="00AD63DB">
        <w:t>ürünler temelde ayn</w:t>
      </w:r>
      <w:r w:rsidR="002942B2">
        <w:t>ı</w:t>
      </w:r>
      <w:r w:rsidR="00AD63DB">
        <w:t xml:space="preserve"> üretim tekniği ile üretilmektedir</w:t>
      </w:r>
      <w:r w:rsidR="00087E92">
        <w:t>.</w:t>
      </w:r>
      <w:r w:rsidR="00AD63DB">
        <w:t xml:space="preserve"> </w:t>
      </w:r>
    </w:p>
    <w:p w:rsidR="00AD63DB" w:rsidRPr="00125018" w:rsidRDefault="00AD63DB" w:rsidP="00AD63DB">
      <w:pPr>
        <w:ind w:firstLine="708"/>
        <w:jc w:val="both"/>
      </w:pPr>
      <w:r w:rsidRPr="00125018">
        <w:lastRenderedPageBreak/>
        <w:t xml:space="preserve">Sonuç olarak, talep ve arz yönünden incelendiğinde, yerli tereftalik asit ile ithal olanların benzer </w:t>
      </w:r>
      <w:r>
        <w:t>ürünler olduğu tespit edilmiştir</w:t>
      </w:r>
      <w:r w:rsidRPr="00125018">
        <w:t>.</w:t>
      </w:r>
    </w:p>
    <w:p w:rsidR="00AA040C" w:rsidRDefault="00AD63DB" w:rsidP="0071243E">
      <w:pPr>
        <w:pStyle w:val="Balk3"/>
      </w:pPr>
      <w:bookmarkStart w:id="5" w:name="_Toc384116964"/>
      <w:r>
        <w:t xml:space="preserve">Yurt </w:t>
      </w:r>
      <w:r w:rsidR="002942B2">
        <w:t xml:space="preserve">içindeki </w:t>
      </w:r>
      <w:r w:rsidR="00F86AC4">
        <w:t>katma değer</w:t>
      </w:r>
      <w:bookmarkEnd w:id="5"/>
    </w:p>
    <w:p w:rsidR="00666325" w:rsidRPr="00125018" w:rsidRDefault="00666325" w:rsidP="00666325">
      <w:pPr>
        <w:ind w:firstLine="708"/>
        <w:jc w:val="both"/>
      </w:pPr>
      <w:r w:rsidRPr="00125018">
        <w:t xml:space="preserve">1 ton tereftalik asit üretmek için 0,67 ton paraksilen tüketilmektedir. </w:t>
      </w:r>
      <w:r>
        <w:t xml:space="preserve">Paraksilenin hammaddesi ise naftadır. </w:t>
      </w:r>
      <w:r w:rsidRPr="00125018">
        <w:t xml:space="preserve">Yerli üreticinin üretim yapısının incelenmesi sonucunda, naftanın </w:t>
      </w:r>
      <w:r>
        <w:t>y</w:t>
      </w:r>
      <w:r w:rsidRPr="00125018">
        <w:t>erli üretici</w:t>
      </w:r>
      <w:r>
        <w:t>nin</w:t>
      </w:r>
      <w:r w:rsidRPr="00125018">
        <w:t xml:space="preserve"> kendi </w:t>
      </w:r>
      <w:proofErr w:type="gramStart"/>
      <w:r w:rsidRPr="00125018">
        <w:t>aromatikler</w:t>
      </w:r>
      <w:proofErr w:type="gramEnd"/>
      <w:r w:rsidRPr="00125018">
        <w:t xml:space="preserve"> fabrikasında </w:t>
      </w:r>
      <w:proofErr w:type="spellStart"/>
      <w:r w:rsidRPr="00125018">
        <w:t>paraksilene</w:t>
      </w:r>
      <w:proofErr w:type="spellEnd"/>
      <w:r w:rsidRPr="00125018">
        <w:t xml:space="preserve">, daha sonra da bu ürünün </w:t>
      </w:r>
      <w:proofErr w:type="spellStart"/>
      <w:r w:rsidRPr="00125018">
        <w:t>PTA</w:t>
      </w:r>
      <w:proofErr w:type="spellEnd"/>
      <w:r w:rsidRPr="00125018">
        <w:t xml:space="preserve"> fabrikasında saf tereftalik </w:t>
      </w:r>
      <w:proofErr w:type="spellStart"/>
      <w:r w:rsidRPr="00125018">
        <w:t>asite</w:t>
      </w:r>
      <w:proofErr w:type="spellEnd"/>
      <w:r w:rsidRPr="00125018">
        <w:t xml:space="preserve"> </w:t>
      </w:r>
      <w:r>
        <w:t>dönüştürülmes</w:t>
      </w:r>
      <w:r w:rsidRPr="000F6CA3">
        <w:t>iyle soruşturma konusu ürüne ilişkin katma değerin önemli bir kısmının yerli üretici tarafından yurt içinde oluşturulduğu anlaşılmıştır.</w:t>
      </w:r>
      <w:r w:rsidRPr="00125018">
        <w:t xml:space="preserve"> </w:t>
      </w:r>
    </w:p>
    <w:p w:rsidR="000C2B3E" w:rsidRDefault="000C2B3E" w:rsidP="0071243E">
      <w:pPr>
        <w:pStyle w:val="Balk3"/>
      </w:pPr>
      <w:bookmarkStart w:id="6" w:name="_Toc384116965"/>
      <w:r w:rsidRPr="00125018">
        <w:t xml:space="preserve">İlgili </w:t>
      </w:r>
      <w:r w:rsidR="00F86AC4" w:rsidRPr="00125018">
        <w:t>taraflar</w:t>
      </w:r>
      <w:bookmarkEnd w:id="6"/>
    </w:p>
    <w:p w:rsidR="000C2B3E" w:rsidRPr="00125018" w:rsidRDefault="000C2B3E" w:rsidP="00AA040C">
      <w:pPr>
        <w:ind w:firstLine="708"/>
        <w:jc w:val="both"/>
      </w:pPr>
      <w:r w:rsidRPr="002C521A">
        <w:t>Soruşturmanın açılmasıyla birlikte ilgili taraflara kendilerini tanıtmaları ve varsa sözlü olarak dinlenme taleplerini iletmeleri için 25 gün, soruşturma kapsamında istenen bilgi ve belgeleri sunmaları için ise 30 gün süre verilmiştir. Bu çerçevede, öngörülen süre içerisinde</w:t>
      </w:r>
      <w:r w:rsidR="002942B2">
        <w:t xml:space="preserve"> t</w:t>
      </w:r>
      <w:r w:rsidRPr="002C521A">
        <w:t>oplam 19 ilgili taraf başvurusu alın</w:t>
      </w:r>
      <w:r w:rsidR="000F6CA3" w:rsidRPr="002C521A">
        <w:t>m</w:t>
      </w:r>
      <w:r w:rsidR="00AA040C" w:rsidRPr="002C521A">
        <w:t>ış ve kabul edilmiştir.</w:t>
      </w:r>
    </w:p>
    <w:p w:rsidR="00AA040C" w:rsidRDefault="000C2B3E" w:rsidP="0071243E">
      <w:pPr>
        <w:pStyle w:val="Balk3"/>
      </w:pPr>
      <w:bookmarkStart w:id="7" w:name="_Toc384116966"/>
      <w:r>
        <w:t xml:space="preserve">Soruşturma </w:t>
      </w:r>
      <w:r w:rsidR="00F86AC4">
        <w:t>süreci</w:t>
      </w:r>
      <w:bookmarkEnd w:id="7"/>
    </w:p>
    <w:p w:rsidR="00AA040C" w:rsidRDefault="00EF6AD3" w:rsidP="00AA040C">
      <w:pPr>
        <w:ind w:firstLine="708"/>
        <w:jc w:val="both"/>
      </w:pPr>
      <w:r>
        <w:t>Soruşturma</w:t>
      </w:r>
      <w:r w:rsidRPr="00AB5931">
        <w:t xml:space="preserve"> </w:t>
      </w:r>
      <w:r>
        <w:t xml:space="preserve">süresi </w:t>
      </w:r>
      <w:r w:rsidR="00AA040C">
        <w:t xml:space="preserve">İthalatta Korunma Önlemleri mevzuatı uyarınca </w:t>
      </w:r>
      <w:proofErr w:type="gramStart"/>
      <w:r w:rsidRPr="00AB5931">
        <w:t>8/10/2013</w:t>
      </w:r>
      <w:proofErr w:type="gramEnd"/>
      <w:r w:rsidRPr="00AB5931">
        <w:t xml:space="preserve"> tarihi itibariyle 2 ay süreyle uzatılmıştır</w:t>
      </w:r>
      <w:r>
        <w:t>.</w:t>
      </w:r>
      <w:r w:rsidRPr="00AB5931">
        <w:t xml:space="preserve"> </w:t>
      </w:r>
      <w:proofErr w:type="gramStart"/>
      <w:r w:rsidR="000C2B3E" w:rsidRPr="00AB5931">
        <w:t>6/12/2013</w:t>
      </w:r>
      <w:proofErr w:type="gramEnd"/>
      <w:r w:rsidR="000C2B3E" w:rsidRPr="00AB5931">
        <w:t xml:space="preserve"> tarihli ve 28843 sayılı Resmî Gazete’de yayımlanan Tebliğ </w:t>
      </w:r>
      <w:r w:rsidR="000C2B3E">
        <w:t xml:space="preserve">ile </w:t>
      </w:r>
      <w:r w:rsidR="000C2B3E" w:rsidRPr="00AB5931">
        <w:t>2013/1sayılı Tebliğ’in</w:t>
      </w:r>
      <w:r w:rsidR="000C2B3E">
        <w:t xml:space="preserve"> </w:t>
      </w:r>
      <w:r w:rsidR="000C2B3E" w:rsidRPr="007D0876">
        <w:t xml:space="preserve">10 uncu maddesi “Soruşturma, Genel Müdürlükçe yürütülerek dokuz ay içinde tamamlanır. Gerekli hallerde bu süre altı ay uzatılabilir.” şeklinde değiştirilmiştir. </w:t>
      </w:r>
      <w:r w:rsidR="000C2B3E">
        <w:t>Bu çerçevede</w:t>
      </w:r>
      <w:r>
        <w:t xml:space="preserve">, </w:t>
      </w:r>
      <w:proofErr w:type="gramStart"/>
      <w:r w:rsidR="000C2B3E" w:rsidRPr="00AB5931">
        <w:t>8/12/2013</w:t>
      </w:r>
      <w:proofErr w:type="gramEnd"/>
      <w:r w:rsidR="000C2B3E" w:rsidRPr="00AB5931">
        <w:t xml:space="preserve"> tarihi itibariyle </w:t>
      </w:r>
      <w:r>
        <w:t xml:space="preserve">soruşturma süresi </w:t>
      </w:r>
      <w:r w:rsidR="000C2B3E" w:rsidRPr="00AB5931">
        <w:t>4</w:t>
      </w:r>
      <w:r w:rsidR="005124A6">
        <w:t xml:space="preserve"> ay daha</w:t>
      </w:r>
      <w:r w:rsidR="000C2B3E">
        <w:t xml:space="preserve"> uzatılmıştır.</w:t>
      </w:r>
    </w:p>
    <w:p w:rsidR="00AA040C" w:rsidRDefault="00AA040C" w:rsidP="00AA040C">
      <w:pPr>
        <w:ind w:firstLine="708"/>
        <w:jc w:val="both"/>
      </w:pPr>
    </w:p>
    <w:p w:rsidR="00AA040C" w:rsidRDefault="00AA040C" w:rsidP="00AA040C">
      <w:pPr>
        <w:ind w:firstLine="708"/>
        <w:jc w:val="both"/>
      </w:pPr>
      <w:r>
        <w:t xml:space="preserve">Soruşturma kapsamında, </w:t>
      </w:r>
      <w:proofErr w:type="gramStart"/>
      <w:r w:rsidRPr="00125018">
        <w:t>5/3/2013</w:t>
      </w:r>
      <w:proofErr w:type="gramEnd"/>
      <w:r w:rsidRPr="00125018">
        <w:t xml:space="preserve"> tarihinde tarafları dinleme toplantısı düzenlenmiş ilgili taraflardan alınan görüşler soruşturma internet adresinde yayımlanmıştır.</w:t>
      </w:r>
      <w:r>
        <w:t xml:space="preserve"> </w:t>
      </w:r>
      <w:proofErr w:type="gramStart"/>
      <w:r>
        <w:t>29/1/2014</w:t>
      </w:r>
      <w:proofErr w:type="gramEnd"/>
      <w:r>
        <w:t xml:space="preserve"> tarihinde yerli üretici Petkim Petrokimya A.Ş.’</w:t>
      </w:r>
      <w:proofErr w:type="spellStart"/>
      <w:r>
        <w:t>nin</w:t>
      </w:r>
      <w:proofErr w:type="spellEnd"/>
      <w:r>
        <w:t xml:space="preserve"> tesislerinde yerinde inceleme yapılmıştır.</w:t>
      </w:r>
    </w:p>
    <w:p w:rsidR="000C2B3E" w:rsidRDefault="000C2B3E" w:rsidP="0071243E">
      <w:pPr>
        <w:pStyle w:val="Balk3"/>
      </w:pPr>
      <w:r w:rsidRPr="00AB5931">
        <w:t xml:space="preserve"> </w:t>
      </w:r>
      <w:bookmarkStart w:id="8" w:name="_Toc384116967"/>
      <w:r w:rsidR="00AA040C">
        <w:t xml:space="preserve">Sonuçların </w:t>
      </w:r>
      <w:r w:rsidR="00F86AC4">
        <w:t>değerlendirilmesi</w:t>
      </w:r>
      <w:bookmarkEnd w:id="8"/>
    </w:p>
    <w:p w:rsidR="00AD63DB" w:rsidRDefault="00AD63DB" w:rsidP="00AD63DB">
      <w:pPr>
        <w:pStyle w:val="BOLUMALTBASLIGI"/>
        <w:numPr>
          <w:ilvl w:val="0"/>
          <w:numId w:val="0"/>
        </w:numPr>
        <w:tabs>
          <w:tab w:val="left" w:pos="708"/>
        </w:tabs>
        <w:ind w:firstLine="360"/>
        <w:jc w:val="both"/>
        <w:rPr>
          <w:b w:val="0"/>
        </w:rPr>
      </w:pPr>
      <w:r>
        <w:rPr>
          <w:b w:val="0"/>
        </w:rPr>
        <w:t>Soruşturma sonucunda elde edilen bilgiler ve değerlendirmeleri içeren soruşturma raporu İthalatta Korunma Önlemlerini Değerlendirme Kurulunun 31/3/2014 tarihli toplantısında değerlendirilmiştir.</w:t>
      </w:r>
    </w:p>
    <w:p w:rsidR="004328B1" w:rsidRPr="008A3C30" w:rsidRDefault="004328B1" w:rsidP="00C57870">
      <w:pPr>
        <w:pStyle w:val="Balk2"/>
      </w:pPr>
      <w:bookmarkStart w:id="9" w:name="_Toc384116968"/>
      <w:r w:rsidRPr="008A3C30">
        <w:t>İLGİLİ TARAFLARIN GÖRÜŞLERİ</w:t>
      </w:r>
      <w:r w:rsidR="00EA573C">
        <w:t xml:space="preserve"> VE DEĞERLENDİRİLMESİ</w:t>
      </w:r>
      <w:bookmarkEnd w:id="9"/>
    </w:p>
    <w:p w:rsidR="00F250BA" w:rsidRPr="00F250BA" w:rsidRDefault="00F250BA" w:rsidP="00A85C10">
      <w:pPr>
        <w:pStyle w:val="ListeParagraf"/>
        <w:widowControl w:val="0"/>
        <w:numPr>
          <w:ilvl w:val="0"/>
          <w:numId w:val="5"/>
        </w:numPr>
        <w:tabs>
          <w:tab w:val="left" w:pos="3240"/>
        </w:tabs>
        <w:autoSpaceDE w:val="0"/>
        <w:autoSpaceDN w:val="0"/>
        <w:spacing w:before="240" w:after="60" w:line="360" w:lineRule="auto"/>
        <w:contextualSpacing w:val="0"/>
        <w:outlineLvl w:val="4"/>
        <w:rPr>
          <w:rFonts w:ascii="Times New Roman" w:eastAsia="Times New Roman" w:hAnsi="Times New Roman" w:cs="Times New Roman"/>
          <w:b/>
          <w:vanish/>
          <w:sz w:val="24"/>
        </w:rPr>
      </w:pPr>
    </w:p>
    <w:p w:rsidR="00F250BA" w:rsidRPr="00F250BA" w:rsidRDefault="00F250BA" w:rsidP="00A85C10">
      <w:pPr>
        <w:pStyle w:val="ListeParagraf"/>
        <w:widowControl w:val="0"/>
        <w:numPr>
          <w:ilvl w:val="0"/>
          <w:numId w:val="5"/>
        </w:numPr>
        <w:tabs>
          <w:tab w:val="left" w:pos="3240"/>
        </w:tabs>
        <w:autoSpaceDE w:val="0"/>
        <w:autoSpaceDN w:val="0"/>
        <w:spacing w:before="240" w:after="60" w:line="360" w:lineRule="auto"/>
        <w:contextualSpacing w:val="0"/>
        <w:outlineLvl w:val="4"/>
        <w:rPr>
          <w:rFonts w:ascii="Times New Roman" w:eastAsia="Times New Roman" w:hAnsi="Times New Roman" w:cs="Times New Roman"/>
          <w:b/>
          <w:vanish/>
          <w:sz w:val="24"/>
        </w:rPr>
      </w:pPr>
    </w:p>
    <w:p w:rsidR="00F250BA" w:rsidRPr="00F250BA" w:rsidRDefault="00F250BA" w:rsidP="00A85C10">
      <w:pPr>
        <w:pStyle w:val="ListeParagraf"/>
        <w:widowControl w:val="0"/>
        <w:numPr>
          <w:ilvl w:val="0"/>
          <w:numId w:val="5"/>
        </w:numPr>
        <w:tabs>
          <w:tab w:val="left" w:pos="3240"/>
        </w:tabs>
        <w:autoSpaceDE w:val="0"/>
        <w:autoSpaceDN w:val="0"/>
        <w:spacing w:before="240" w:after="60" w:line="360" w:lineRule="auto"/>
        <w:contextualSpacing w:val="0"/>
        <w:outlineLvl w:val="4"/>
        <w:rPr>
          <w:rFonts w:ascii="Times New Roman" w:eastAsia="Times New Roman" w:hAnsi="Times New Roman" w:cs="Times New Roman"/>
          <w:b/>
          <w:vanish/>
          <w:sz w:val="24"/>
        </w:rPr>
      </w:pPr>
    </w:p>
    <w:p w:rsidR="00C57870" w:rsidRPr="00C57870" w:rsidRDefault="00C57870" w:rsidP="00A85C10">
      <w:pPr>
        <w:pStyle w:val="ListeParagraf"/>
        <w:keepNext/>
        <w:numPr>
          <w:ilvl w:val="0"/>
          <w:numId w:val="7"/>
        </w:numPr>
        <w:spacing w:before="120" w:after="120" w:line="360" w:lineRule="auto"/>
        <w:contextualSpacing w:val="0"/>
        <w:outlineLvl w:val="2"/>
        <w:rPr>
          <w:rFonts w:ascii="Times New Roman" w:eastAsia="Times New Roman" w:hAnsi="Times New Roman" w:cs="Arial"/>
          <w:b/>
          <w:bCs/>
          <w:vanish/>
          <w:sz w:val="24"/>
          <w:szCs w:val="16"/>
          <w:lang w:eastAsia="tr-TR"/>
        </w:rPr>
      </w:pPr>
      <w:bookmarkStart w:id="10" w:name="_Toc365038312"/>
      <w:bookmarkStart w:id="11" w:name="_Toc365040399"/>
      <w:bookmarkStart w:id="12" w:name="_Toc365383347"/>
      <w:bookmarkStart w:id="13" w:name="_Toc380746358"/>
      <w:bookmarkStart w:id="14" w:name="_Toc381623862"/>
      <w:bookmarkStart w:id="15" w:name="_Toc381624037"/>
      <w:bookmarkStart w:id="16" w:name="_Toc381624215"/>
      <w:bookmarkStart w:id="17" w:name="_Toc381629399"/>
      <w:bookmarkStart w:id="18" w:name="_Toc381865076"/>
      <w:bookmarkStart w:id="19" w:name="_Toc381865929"/>
      <w:bookmarkStart w:id="20" w:name="_Toc381967946"/>
      <w:bookmarkStart w:id="21" w:name="_Toc383597503"/>
      <w:bookmarkStart w:id="22" w:name="_Toc383613908"/>
      <w:bookmarkStart w:id="23" w:name="_Toc383613953"/>
      <w:bookmarkStart w:id="24" w:name="_Toc383683765"/>
      <w:bookmarkStart w:id="25" w:name="_Toc383697975"/>
      <w:bookmarkStart w:id="26" w:name="_Toc383709909"/>
      <w:bookmarkStart w:id="27" w:name="_Toc383768398"/>
      <w:bookmarkStart w:id="28" w:name="_Toc383777602"/>
      <w:bookmarkStart w:id="29" w:name="_Toc383778335"/>
      <w:bookmarkStart w:id="30" w:name="_Toc38411696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F250BA" w:rsidRPr="00125018" w:rsidRDefault="00BC27FB" w:rsidP="00F05C7E">
      <w:pPr>
        <w:ind w:firstLine="708"/>
        <w:jc w:val="both"/>
      </w:pPr>
      <w:r w:rsidRPr="00125018">
        <w:t>İ</w:t>
      </w:r>
      <w:r w:rsidR="00532C1E" w:rsidRPr="00125018">
        <w:t>lgili taraflarca dile getirilen görüşler birçok noktada örtüşmektedir. Bu nedenle, tekrarı ön</w:t>
      </w:r>
      <w:r w:rsidR="00982ECE" w:rsidRPr="00125018">
        <w:t xml:space="preserve">lemek amacıyla </w:t>
      </w:r>
      <w:r w:rsidR="00532C1E" w:rsidRPr="00125018">
        <w:t>ilgili taraf görüşleri dile getiren taraflara göre değil, ileri sürülen görüşlerin konusuna göre sınıflandırıl</w:t>
      </w:r>
      <w:r w:rsidR="002942B2">
        <w:t>mıştır. İl</w:t>
      </w:r>
      <w:r w:rsidR="00EA573C">
        <w:t>gili tarafların görüşleri</w:t>
      </w:r>
      <w:r w:rsidR="002942B2">
        <w:t xml:space="preserve"> ve</w:t>
      </w:r>
      <w:r w:rsidR="00EA573C">
        <w:t xml:space="preserve"> </w:t>
      </w:r>
      <w:r w:rsidR="00606D4C">
        <w:t xml:space="preserve">verilen yanıtlar </w:t>
      </w:r>
      <w:r w:rsidR="001643A4">
        <w:t>aşağıda yer almaktadır.</w:t>
      </w:r>
    </w:p>
    <w:p w:rsidR="005B0C8C" w:rsidRPr="00A83B7B" w:rsidRDefault="005B0C8C" w:rsidP="00A83B7B">
      <w:pPr>
        <w:pStyle w:val="ListeParagraf"/>
        <w:numPr>
          <w:ilvl w:val="0"/>
          <w:numId w:val="11"/>
        </w:numPr>
        <w:rPr>
          <w:rFonts w:cs="Arial"/>
          <w:b/>
          <w:bCs/>
          <w:vanish/>
          <w:szCs w:val="16"/>
        </w:rPr>
      </w:pPr>
    </w:p>
    <w:p w:rsidR="00A83B7B" w:rsidRPr="00A83B7B" w:rsidRDefault="00A83B7B" w:rsidP="00A83B7B">
      <w:pPr>
        <w:pStyle w:val="ListeParagraf"/>
        <w:keepNext/>
        <w:numPr>
          <w:ilvl w:val="0"/>
          <w:numId w:val="8"/>
        </w:numPr>
        <w:spacing w:before="240" w:after="240" w:line="240" w:lineRule="auto"/>
        <w:contextualSpacing w:val="0"/>
        <w:jc w:val="both"/>
        <w:outlineLvl w:val="3"/>
        <w:rPr>
          <w:rFonts w:ascii="Times New Roman" w:eastAsia="Times New Roman" w:hAnsi="Times New Roman" w:cs="Arial"/>
          <w:b/>
          <w:bCs/>
          <w:vanish/>
          <w:sz w:val="24"/>
          <w:szCs w:val="16"/>
          <w:lang w:eastAsia="tr-TR"/>
        </w:rPr>
      </w:pPr>
    </w:p>
    <w:p w:rsidR="00A83B7B" w:rsidRPr="00A83B7B" w:rsidRDefault="00A83B7B" w:rsidP="00A83B7B">
      <w:pPr>
        <w:pStyle w:val="ListeParagraf"/>
        <w:keepNext/>
        <w:numPr>
          <w:ilvl w:val="0"/>
          <w:numId w:val="8"/>
        </w:numPr>
        <w:spacing w:before="240" w:after="240" w:line="240" w:lineRule="auto"/>
        <w:contextualSpacing w:val="0"/>
        <w:jc w:val="both"/>
        <w:outlineLvl w:val="3"/>
        <w:rPr>
          <w:rFonts w:ascii="Times New Roman" w:eastAsia="Times New Roman" w:hAnsi="Times New Roman" w:cs="Arial"/>
          <w:b/>
          <w:bCs/>
          <w:vanish/>
          <w:sz w:val="24"/>
          <w:szCs w:val="16"/>
          <w:lang w:eastAsia="tr-TR"/>
        </w:rPr>
      </w:pPr>
    </w:p>
    <w:p w:rsidR="00E84D00" w:rsidRPr="001643A4" w:rsidRDefault="00E66763" w:rsidP="008129B1">
      <w:pPr>
        <w:pStyle w:val="Balk4"/>
      </w:pPr>
      <w:r w:rsidRPr="001643A4">
        <w:t>Soruşturma dönemi 2006 veya 2007 yılından başlamalıdır. 2008 yılı, ithalat çok düşük olduğu için özellikle inceleme döneminin başlangıç yılı olarak seçilmiştir.</w:t>
      </w:r>
    </w:p>
    <w:p w:rsidR="009D2096" w:rsidRDefault="00AC7C07" w:rsidP="00E84D00">
      <w:pPr>
        <w:ind w:firstLine="708"/>
        <w:jc w:val="both"/>
      </w:pPr>
      <w:r w:rsidRPr="00125018">
        <w:t xml:space="preserve">Korunma Önlemleri Anlaşmasında ve İthalatta Korunma Önlemleri Hakkında Mevzuatta korunma önlemi soruşturmalarında ithalat </w:t>
      </w:r>
      <w:r w:rsidR="009D2096" w:rsidRPr="00125018">
        <w:t xml:space="preserve">artışı ve ciddi zarar incelemesinin yapılacağı döneme ilişkin herhangi bir hüküm bulunmamaktadır.  Bu nedenle ülkemizde ve </w:t>
      </w:r>
      <w:r w:rsidR="009D2096" w:rsidRPr="00125018">
        <w:lastRenderedPageBreak/>
        <w:t>diğer ülkelerde soruşturma otoriteleri farklı inceleme dönemleri belirleyebilmektedir. Ülkemiz uygulamalarında 5 yılı kapsayan bir inceleme dönemi seçilmesi bir gelenek haline gelmiştir. Yerli üreticilerin başvurularında kullandıkları Korunma Önlemleri Başvuru Kılavuzunda da son 5 yıla ilişkin veriler istenmektedir.</w:t>
      </w:r>
    </w:p>
    <w:p w:rsidR="00E84D00" w:rsidRPr="00125018" w:rsidRDefault="00E84D00" w:rsidP="00E84D00">
      <w:pPr>
        <w:ind w:firstLine="708"/>
        <w:jc w:val="both"/>
      </w:pPr>
    </w:p>
    <w:p w:rsidR="005124A6" w:rsidRDefault="009D2096" w:rsidP="00E84D00">
      <w:pPr>
        <w:ind w:firstLine="708"/>
        <w:jc w:val="both"/>
      </w:pPr>
      <w:r w:rsidRPr="000B336F">
        <w:t xml:space="preserve">DTÖ Anlaşmazlıkların Halli </w:t>
      </w:r>
      <w:proofErr w:type="spellStart"/>
      <w:r w:rsidRPr="000B336F">
        <w:t>Organı’nın</w:t>
      </w:r>
      <w:proofErr w:type="spellEnd"/>
      <w:r w:rsidRPr="000B336F">
        <w:t xml:space="preserve"> korunma önlemlerine ilişkin içtihatları soruşturma otoritelerine bu konuda ışık tutmaktadır. Arjantin-Ayakkabı dosyasında Panel, </w:t>
      </w:r>
      <w:r w:rsidR="00776A00" w:rsidRPr="000B336F">
        <w:t xml:space="preserve">Arjantin’in kullandığı 5 yıllık inceleme döneminin çok uzun olduğuna ilişkin olarak </w:t>
      </w:r>
      <w:r w:rsidRPr="000B336F">
        <w:t xml:space="preserve">Avrupa Birliği’nin </w:t>
      </w:r>
      <w:r w:rsidR="00776A00" w:rsidRPr="000B336F">
        <w:t>yaptığı itirazı</w:t>
      </w:r>
      <w:r w:rsidRPr="000B336F">
        <w:t xml:space="preserve"> yerinde bulmamıştır.</w:t>
      </w:r>
      <w:r w:rsidR="008F63E7" w:rsidRPr="000B336F">
        <w:rPr>
          <w:rStyle w:val="DipnotBavurusu"/>
          <w:b/>
        </w:rPr>
        <w:footnoteReference w:id="2"/>
      </w:r>
      <w:r w:rsidRPr="000B336F">
        <w:t xml:space="preserve"> Aynı dosyada</w:t>
      </w:r>
      <w:r w:rsidR="000C2F91" w:rsidRPr="000B336F">
        <w:t xml:space="preserve">, Temyiz Organı ise </w:t>
      </w:r>
      <w:proofErr w:type="spellStart"/>
      <w:r w:rsidR="000C2F91" w:rsidRPr="000B336F">
        <w:t>Panel’e</w:t>
      </w:r>
      <w:proofErr w:type="spellEnd"/>
      <w:r w:rsidR="000C2F91" w:rsidRPr="000B336F">
        <w:t xml:space="preserve"> 5 yıllık bir inceleme döneminin makul olması konusunda</w:t>
      </w:r>
      <w:r w:rsidR="00CC5117" w:rsidRPr="000B336F">
        <w:t xml:space="preserve"> katılmadığını ve </w:t>
      </w:r>
      <w:r w:rsidR="000C2F91" w:rsidRPr="000B336F">
        <w:t>soruşturma oto</w:t>
      </w:r>
      <w:r w:rsidR="000B336F" w:rsidRPr="000B336F">
        <w:t>riterlerinin sadece son 5 yıllık</w:t>
      </w:r>
      <w:r w:rsidR="000C2F91" w:rsidRPr="000B336F">
        <w:t xml:space="preserve"> ya da herhangi başka bir </w:t>
      </w:r>
      <w:r w:rsidR="000B336F" w:rsidRPr="000B336F">
        <w:t>döneme</w:t>
      </w:r>
      <w:r w:rsidR="000C2F91" w:rsidRPr="000B336F">
        <w:t xml:space="preserve"> </w:t>
      </w:r>
      <w:r w:rsidR="000B336F" w:rsidRPr="000B336F">
        <w:t xml:space="preserve">ilişkin </w:t>
      </w:r>
      <w:r w:rsidR="000C2F91" w:rsidRPr="000B336F">
        <w:t xml:space="preserve">ithalat </w:t>
      </w:r>
      <w:proofErr w:type="gramStart"/>
      <w:r w:rsidR="000C2F91" w:rsidRPr="000B336F">
        <w:t>trendlerini</w:t>
      </w:r>
      <w:proofErr w:type="gramEnd"/>
      <w:r w:rsidR="000C2F91" w:rsidRPr="000B336F">
        <w:t xml:space="preserve"> i</w:t>
      </w:r>
      <w:r w:rsidR="00CC5117" w:rsidRPr="000B336F">
        <w:t>ncelemesinin yeterli olmadığını belirtmiştir.</w:t>
      </w:r>
      <w:r w:rsidR="008F63E7" w:rsidRPr="000B336F">
        <w:rPr>
          <w:rStyle w:val="DipnotBavurusu"/>
          <w:b/>
        </w:rPr>
        <w:footnoteReference w:id="3"/>
      </w:r>
      <w:r w:rsidR="00CC5117" w:rsidRPr="000B336F">
        <w:t xml:space="preserve"> </w:t>
      </w:r>
      <w:r w:rsidR="000B336F" w:rsidRPr="000B336F">
        <w:t>Temyiz Organı, ithalat artışının sadece matematiksel ya da teknik bir saptama olmadığını; soruşturma otoritelerinin yalnızca son yıldaki ithalatın bir önceki yıldan veya beş yıl önceki ithalattan yüksek olduğunu göstermesinin yeterli olmadığını ifade etmiştir. Bundan ziyade, özellikle yakın tarihli ithalatın incelenmesi gerektiğini ve ithalatta bir artıştan söz edebilmek için yaşanan artışın yeterince yakın, ani, keskin ve ciddi olması gerektiğini belirtmiştir.</w:t>
      </w:r>
      <w:r w:rsidR="000B336F" w:rsidRPr="000B336F">
        <w:rPr>
          <w:rStyle w:val="DipnotBavurusu"/>
        </w:rPr>
        <w:footnoteReference w:id="4"/>
      </w:r>
      <w:r w:rsidR="000B336F" w:rsidRPr="000B336F">
        <w:t xml:space="preserve"> </w:t>
      </w:r>
    </w:p>
    <w:p w:rsidR="005124A6" w:rsidRDefault="005124A6" w:rsidP="00E84D00">
      <w:pPr>
        <w:ind w:firstLine="708"/>
        <w:jc w:val="both"/>
      </w:pPr>
    </w:p>
    <w:p w:rsidR="00EA4A38" w:rsidRPr="00125018" w:rsidRDefault="005124A6" w:rsidP="00E84D00">
      <w:pPr>
        <w:ind w:firstLine="708"/>
        <w:jc w:val="both"/>
      </w:pPr>
      <w:r>
        <w:t>Yukarıdaki açıklamalar çerçevesinde</w:t>
      </w:r>
      <w:r w:rsidR="005D657A" w:rsidRPr="000B336F">
        <w:t xml:space="preserve"> inceleme dönemi</w:t>
      </w:r>
      <w:r>
        <w:t>nin</w:t>
      </w:r>
      <w:r w:rsidR="005D657A" w:rsidRPr="000B336F">
        <w:t xml:space="preserve"> süresi </w:t>
      </w:r>
      <w:r w:rsidR="00B81CC9">
        <w:t>her soruşturma</w:t>
      </w:r>
      <w:r w:rsidR="00776A00" w:rsidRPr="000B336F">
        <w:t xml:space="preserve"> kapsamında far</w:t>
      </w:r>
      <w:r w:rsidR="001F25DC">
        <w:t>k</w:t>
      </w:r>
      <w:r w:rsidR="00776A00" w:rsidRPr="000B336F">
        <w:t>lı değerlendirilmesi gereken bir durum olup, bu konuda soruşturma otoriteleri inceledikleri dosyaya göre karar verebileceklerdir</w:t>
      </w:r>
      <w:r>
        <w:t xml:space="preserve"> sonucu ortaya çıkmaktadır</w:t>
      </w:r>
      <w:r w:rsidR="005D657A" w:rsidRPr="000B336F">
        <w:t>.</w:t>
      </w:r>
      <w:r w:rsidR="00776A00" w:rsidRPr="000B336F">
        <w:t xml:space="preserve"> </w:t>
      </w:r>
    </w:p>
    <w:p w:rsidR="00E84D00" w:rsidRDefault="00E84D00" w:rsidP="00125018">
      <w:pPr>
        <w:jc w:val="both"/>
      </w:pPr>
    </w:p>
    <w:p w:rsidR="003705F5" w:rsidRDefault="00776A00" w:rsidP="00945368">
      <w:pPr>
        <w:ind w:firstLine="708"/>
        <w:jc w:val="both"/>
      </w:pPr>
      <w:r w:rsidRPr="00125018">
        <w:t>PTA ürünü için i</w:t>
      </w:r>
      <w:r w:rsidR="00EA4A38" w:rsidRPr="00125018">
        <w:t xml:space="preserve">nceleme döneminin başlangıç yılının 2006 ya da 2007 yılı olarak alındığı durumda mutlak ithalatta yaşanan artış aşağıdaki tabloda yer almaktadır. </w:t>
      </w:r>
    </w:p>
    <w:p w:rsidR="00EA4A38" w:rsidRPr="00125018" w:rsidRDefault="00EA4A38" w:rsidP="00E84D00">
      <w:pPr>
        <w:ind w:firstLine="708"/>
        <w:jc w:val="both"/>
      </w:pPr>
      <w:r w:rsidRPr="00125018">
        <w:t xml:space="preserve"> </w:t>
      </w:r>
      <w:r w:rsidR="00E84D00">
        <w:tab/>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4"/>
        <w:gridCol w:w="1783"/>
        <w:gridCol w:w="2270"/>
        <w:gridCol w:w="2124"/>
        <w:gridCol w:w="1771"/>
      </w:tblGrid>
      <w:tr w:rsidR="00213DB9" w:rsidRPr="00125018" w:rsidTr="00A83B7B">
        <w:trPr>
          <w:cantSplit/>
          <w:trHeight w:val="397"/>
        </w:trPr>
        <w:tc>
          <w:tcPr>
            <w:tcW w:w="686" w:type="pct"/>
            <w:tcBorders>
              <w:top w:val="double" w:sz="4" w:space="0" w:color="auto"/>
              <w:bottom w:val="nil"/>
              <w:right w:val="nil"/>
            </w:tcBorders>
            <w:shd w:val="clear" w:color="auto" w:fill="auto"/>
            <w:noWrap/>
            <w:vAlign w:val="center"/>
            <w:hideMark/>
          </w:tcPr>
          <w:p w:rsidR="00213DB9" w:rsidRPr="00125018" w:rsidRDefault="00213DB9" w:rsidP="003705F5">
            <w:pPr>
              <w:jc w:val="center"/>
            </w:pPr>
            <w:r w:rsidRPr="00125018">
              <w:t>Yıllar</w:t>
            </w:r>
          </w:p>
        </w:tc>
        <w:tc>
          <w:tcPr>
            <w:tcW w:w="968" w:type="pct"/>
            <w:tcBorders>
              <w:top w:val="double" w:sz="4" w:space="0" w:color="auto"/>
              <w:left w:val="nil"/>
              <w:bottom w:val="nil"/>
              <w:right w:val="nil"/>
            </w:tcBorders>
            <w:shd w:val="clear" w:color="000000" w:fill="auto"/>
            <w:noWrap/>
            <w:vAlign w:val="center"/>
            <w:hideMark/>
          </w:tcPr>
          <w:p w:rsidR="00213DB9" w:rsidRPr="00125018" w:rsidRDefault="00213DB9" w:rsidP="003705F5">
            <w:pPr>
              <w:jc w:val="center"/>
            </w:pPr>
            <w:r w:rsidRPr="00125018">
              <w:t>Mutlak İthalat (Ton)</w:t>
            </w:r>
          </w:p>
        </w:tc>
        <w:tc>
          <w:tcPr>
            <w:tcW w:w="1232" w:type="pct"/>
            <w:tcBorders>
              <w:top w:val="double" w:sz="4" w:space="0" w:color="auto"/>
              <w:left w:val="nil"/>
              <w:bottom w:val="nil"/>
              <w:right w:val="nil"/>
            </w:tcBorders>
            <w:shd w:val="clear" w:color="auto" w:fill="auto"/>
            <w:noWrap/>
            <w:vAlign w:val="center"/>
            <w:hideMark/>
          </w:tcPr>
          <w:p w:rsidR="00213DB9" w:rsidRPr="00125018" w:rsidRDefault="00213DB9" w:rsidP="003705F5">
            <w:pPr>
              <w:jc w:val="center"/>
            </w:pPr>
            <w:r w:rsidRPr="00125018">
              <w:t>Bir Önceki Yıla Göre</w:t>
            </w:r>
          </w:p>
          <w:p w:rsidR="00213DB9" w:rsidRPr="00125018" w:rsidRDefault="00213DB9" w:rsidP="003705F5">
            <w:pPr>
              <w:jc w:val="center"/>
            </w:pPr>
            <w:r w:rsidRPr="00125018">
              <w:t>Değişim (%)</w:t>
            </w:r>
          </w:p>
        </w:tc>
        <w:tc>
          <w:tcPr>
            <w:tcW w:w="1153" w:type="pct"/>
            <w:tcBorders>
              <w:top w:val="double" w:sz="4" w:space="0" w:color="auto"/>
              <w:left w:val="nil"/>
              <w:bottom w:val="nil"/>
              <w:right w:val="nil"/>
            </w:tcBorders>
            <w:shd w:val="clear" w:color="auto" w:fill="auto"/>
            <w:noWrap/>
            <w:vAlign w:val="center"/>
            <w:hideMark/>
          </w:tcPr>
          <w:p w:rsidR="00213DB9" w:rsidRPr="00125018" w:rsidRDefault="00213DB9" w:rsidP="003705F5">
            <w:pPr>
              <w:jc w:val="center"/>
            </w:pPr>
            <w:r>
              <w:t>2013'</w:t>
            </w:r>
            <w:r w:rsidRPr="00125018">
              <w:t>e Göre</w:t>
            </w:r>
          </w:p>
          <w:p w:rsidR="00213DB9" w:rsidRPr="00125018" w:rsidRDefault="00213DB9" w:rsidP="003705F5">
            <w:pPr>
              <w:jc w:val="center"/>
            </w:pPr>
            <w:r w:rsidRPr="00125018">
              <w:t>Değişim (%)</w:t>
            </w:r>
          </w:p>
        </w:tc>
        <w:tc>
          <w:tcPr>
            <w:tcW w:w="961" w:type="pct"/>
            <w:tcBorders>
              <w:top w:val="double" w:sz="4" w:space="0" w:color="auto"/>
              <w:left w:val="nil"/>
              <w:bottom w:val="nil"/>
            </w:tcBorders>
            <w:vAlign w:val="center"/>
          </w:tcPr>
          <w:p w:rsidR="00213DB9" w:rsidRDefault="00213DB9" w:rsidP="00213DB9">
            <w:pPr>
              <w:jc w:val="center"/>
            </w:pPr>
            <w:r>
              <w:t>Endeks</w:t>
            </w:r>
          </w:p>
          <w:p w:rsidR="008F5253" w:rsidRDefault="008F5253" w:rsidP="00213DB9">
            <w:pPr>
              <w:jc w:val="center"/>
            </w:pPr>
            <w:r>
              <w:t>(2006=100)</w:t>
            </w:r>
          </w:p>
        </w:tc>
      </w:tr>
      <w:tr w:rsidR="00213DB9" w:rsidRPr="00125018" w:rsidTr="00A83B7B">
        <w:trPr>
          <w:cantSplit/>
          <w:trHeight w:val="397"/>
        </w:trPr>
        <w:tc>
          <w:tcPr>
            <w:tcW w:w="686" w:type="pct"/>
            <w:tcBorders>
              <w:top w:val="nil"/>
              <w:bottom w:val="nil"/>
              <w:right w:val="nil"/>
            </w:tcBorders>
            <w:shd w:val="clear" w:color="auto" w:fill="auto"/>
            <w:noWrap/>
            <w:vAlign w:val="center"/>
            <w:hideMark/>
          </w:tcPr>
          <w:p w:rsidR="00213DB9" w:rsidRPr="00125018" w:rsidRDefault="00213DB9" w:rsidP="003705F5">
            <w:pPr>
              <w:jc w:val="center"/>
            </w:pPr>
            <w:r w:rsidRPr="00125018">
              <w:t>2006</w:t>
            </w:r>
          </w:p>
        </w:tc>
        <w:tc>
          <w:tcPr>
            <w:tcW w:w="968" w:type="pct"/>
            <w:tcBorders>
              <w:top w:val="nil"/>
              <w:left w:val="nil"/>
              <w:bottom w:val="nil"/>
              <w:right w:val="nil"/>
            </w:tcBorders>
            <w:shd w:val="clear" w:color="auto" w:fill="auto"/>
            <w:noWrap/>
            <w:vAlign w:val="center"/>
            <w:hideMark/>
          </w:tcPr>
          <w:p w:rsidR="00213DB9" w:rsidRPr="00125018" w:rsidRDefault="00213DB9" w:rsidP="003705F5">
            <w:pPr>
              <w:jc w:val="center"/>
            </w:pPr>
            <w:r w:rsidRPr="00125018">
              <w:t>209.660</w:t>
            </w:r>
          </w:p>
        </w:tc>
        <w:tc>
          <w:tcPr>
            <w:tcW w:w="1232" w:type="pct"/>
            <w:tcBorders>
              <w:top w:val="nil"/>
              <w:left w:val="nil"/>
              <w:bottom w:val="nil"/>
              <w:right w:val="nil"/>
            </w:tcBorders>
            <w:shd w:val="clear" w:color="auto" w:fill="auto"/>
            <w:noWrap/>
            <w:vAlign w:val="center"/>
            <w:hideMark/>
          </w:tcPr>
          <w:p w:rsidR="00213DB9" w:rsidRPr="00125018" w:rsidRDefault="00213DB9" w:rsidP="003705F5">
            <w:pPr>
              <w:jc w:val="center"/>
            </w:pPr>
            <w:r w:rsidRPr="00125018">
              <w:t>-5</w:t>
            </w:r>
          </w:p>
        </w:tc>
        <w:tc>
          <w:tcPr>
            <w:tcW w:w="1153" w:type="pct"/>
            <w:tcBorders>
              <w:top w:val="nil"/>
              <w:left w:val="nil"/>
              <w:bottom w:val="nil"/>
              <w:right w:val="nil"/>
            </w:tcBorders>
            <w:shd w:val="clear" w:color="auto" w:fill="auto"/>
            <w:noWrap/>
            <w:vAlign w:val="center"/>
            <w:hideMark/>
          </w:tcPr>
          <w:p w:rsidR="00213DB9" w:rsidRPr="00945368" w:rsidRDefault="000B336F" w:rsidP="00945368">
            <w:pPr>
              <w:jc w:val="center"/>
            </w:pPr>
            <w:r>
              <w:t>-</w:t>
            </w:r>
            <w:r w:rsidR="00213DB9" w:rsidRPr="00945368">
              <w:t>38</w:t>
            </w:r>
          </w:p>
        </w:tc>
        <w:tc>
          <w:tcPr>
            <w:tcW w:w="961" w:type="pct"/>
            <w:tcBorders>
              <w:top w:val="nil"/>
              <w:left w:val="nil"/>
              <w:bottom w:val="nil"/>
            </w:tcBorders>
            <w:vAlign w:val="center"/>
          </w:tcPr>
          <w:p w:rsidR="00213DB9" w:rsidRPr="00213DB9" w:rsidRDefault="00213DB9" w:rsidP="008F5253">
            <w:pPr>
              <w:jc w:val="center"/>
            </w:pPr>
            <w:r w:rsidRPr="00213DB9">
              <w:t>100</w:t>
            </w:r>
          </w:p>
        </w:tc>
      </w:tr>
      <w:tr w:rsidR="00213DB9" w:rsidRPr="00125018" w:rsidTr="00A83B7B">
        <w:trPr>
          <w:cantSplit/>
          <w:trHeight w:val="397"/>
        </w:trPr>
        <w:tc>
          <w:tcPr>
            <w:tcW w:w="686" w:type="pct"/>
            <w:tcBorders>
              <w:top w:val="nil"/>
              <w:bottom w:val="nil"/>
              <w:right w:val="nil"/>
            </w:tcBorders>
            <w:shd w:val="clear" w:color="auto" w:fill="auto"/>
            <w:noWrap/>
            <w:vAlign w:val="center"/>
            <w:hideMark/>
          </w:tcPr>
          <w:p w:rsidR="00213DB9" w:rsidRPr="00125018" w:rsidRDefault="00213DB9" w:rsidP="003705F5">
            <w:pPr>
              <w:jc w:val="center"/>
            </w:pPr>
            <w:r w:rsidRPr="00125018">
              <w:t>2007</w:t>
            </w:r>
          </w:p>
        </w:tc>
        <w:tc>
          <w:tcPr>
            <w:tcW w:w="968" w:type="pct"/>
            <w:tcBorders>
              <w:top w:val="nil"/>
              <w:left w:val="nil"/>
              <w:bottom w:val="nil"/>
              <w:right w:val="nil"/>
            </w:tcBorders>
            <w:shd w:val="clear" w:color="auto" w:fill="auto"/>
            <w:noWrap/>
            <w:vAlign w:val="center"/>
            <w:hideMark/>
          </w:tcPr>
          <w:p w:rsidR="00213DB9" w:rsidRPr="00125018" w:rsidRDefault="00213DB9" w:rsidP="003705F5">
            <w:pPr>
              <w:jc w:val="center"/>
            </w:pPr>
            <w:r w:rsidRPr="00125018">
              <w:t>211.053</w:t>
            </w:r>
          </w:p>
        </w:tc>
        <w:tc>
          <w:tcPr>
            <w:tcW w:w="1232" w:type="pct"/>
            <w:tcBorders>
              <w:top w:val="nil"/>
              <w:left w:val="nil"/>
              <w:bottom w:val="nil"/>
              <w:right w:val="nil"/>
            </w:tcBorders>
            <w:shd w:val="clear" w:color="auto" w:fill="auto"/>
            <w:noWrap/>
            <w:vAlign w:val="center"/>
            <w:hideMark/>
          </w:tcPr>
          <w:p w:rsidR="00213DB9" w:rsidRPr="00125018" w:rsidRDefault="00213DB9" w:rsidP="003705F5">
            <w:pPr>
              <w:jc w:val="center"/>
            </w:pPr>
            <w:r w:rsidRPr="00125018">
              <w:t>1</w:t>
            </w:r>
          </w:p>
        </w:tc>
        <w:tc>
          <w:tcPr>
            <w:tcW w:w="1153" w:type="pct"/>
            <w:tcBorders>
              <w:top w:val="nil"/>
              <w:left w:val="nil"/>
              <w:bottom w:val="nil"/>
              <w:right w:val="nil"/>
            </w:tcBorders>
            <w:shd w:val="clear" w:color="auto" w:fill="auto"/>
            <w:noWrap/>
            <w:vAlign w:val="center"/>
            <w:hideMark/>
          </w:tcPr>
          <w:p w:rsidR="00213DB9" w:rsidRPr="00945368" w:rsidRDefault="000B336F" w:rsidP="00945368">
            <w:pPr>
              <w:jc w:val="center"/>
            </w:pPr>
            <w:r>
              <w:t>-</w:t>
            </w:r>
            <w:r w:rsidR="00213DB9" w:rsidRPr="00945368">
              <w:t>37</w:t>
            </w:r>
          </w:p>
        </w:tc>
        <w:tc>
          <w:tcPr>
            <w:tcW w:w="961" w:type="pct"/>
            <w:tcBorders>
              <w:top w:val="nil"/>
              <w:left w:val="nil"/>
              <w:bottom w:val="nil"/>
            </w:tcBorders>
            <w:vAlign w:val="center"/>
          </w:tcPr>
          <w:p w:rsidR="00213DB9" w:rsidRPr="00213DB9" w:rsidRDefault="00213DB9" w:rsidP="008F5253">
            <w:pPr>
              <w:jc w:val="center"/>
            </w:pPr>
            <w:r w:rsidRPr="00213DB9">
              <w:t>101</w:t>
            </w:r>
          </w:p>
        </w:tc>
      </w:tr>
      <w:tr w:rsidR="00213DB9" w:rsidRPr="00125018" w:rsidTr="00A83B7B">
        <w:trPr>
          <w:cantSplit/>
          <w:trHeight w:val="397"/>
        </w:trPr>
        <w:tc>
          <w:tcPr>
            <w:tcW w:w="686" w:type="pct"/>
            <w:tcBorders>
              <w:top w:val="nil"/>
              <w:bottom w:val="nil"/>
              <w:right w:val="nil"/>
            </w:tcBorders>
            <w:shd w:val="clear" w:color="auto" w:fill="auto"/>
            <w:noWrap/>
            <w:vAlign w:val="center"/>
            <w:hideMark/>
          </w:tcPr>
          <w:p w:rsidR="00213DB9" w:rsidRPr="00125018" w:rsidRDefault="00213DB9" w:rsidP="003705F5">
            <w:pPr>
              <w:jc w:val="center"/>
            </w:pPr>
            <w:r w:rsidRPr="00125018">
              <w:t>2008</w:t>
            </w:r>
          </w:p>
        </w:tc>
        <w:tc>
          <w:tcPr>
            <w:tcW w:w="968" w:type="pct"/>
            <w:tcBorders>
              <w:top w:val="nil"/>
              <w:left w:val="nil"/>
              <w:bottom w:val="nil"/>
              <w:right w:val="nil"/>
            </w:tcBorders>
            <w:shd w:val="clear" w:color="auto" w:fill="auto"/>
            <w:noWrap/>
            <w:vAlign w:val="center"/>
            <w:hideMark/>
          </w:tcPr>
          <w:p w:rsidR="00213DB9" w:rsidRPr="00125018" w:rsidRDefault="00213DB9" w:rsidP="003705F5">
            <w:pPr>
              <w:jc w:val="center"/>
            </w:pPr>
            <w:r w:rsidRPr="00125018">
              <w:t>143.769</w:t>
            </w:r>
          </w:p>
        </w:tc>
        <w:tc>
          <w:tcPr>
            <w:tcW w:w="1232" w:type="pct"/>
            <w:tcBorders>
              <w:top w:val="nil"/>
              <w:left w:val="nil"/>
              <w:bottom w:val="nil"/>
              <w:right w:val="nil"/>
            </w:tcBorders>
            <w:shd w:val="clear" w:color="auto" w:fill="auto"/>
            <w:noWrap/>
            <w:vAlign w:val="center"/>
            <w:hideMark/>
          </w:tcPr>
          <w:p w:rsidR="00213DB9" w:rsidRPr="00125018" w:rsidRDefault="00213DB9" w:rsidP="003705F5">
            <w:pPr>
              <w:jc w:val="center"/>
            </w:pPr>
            <w:r w:rsidRPr="00125018">
              <w:t>-32</w:t>
            </w:r>
          </w:p>
        </w:tc>
        <w:tc>
          <w:tcPr>
            <w:tcW w:w="1153" w:type="pct"/>
            <w:tcBorders>
              <w:top w:val="nil"/>
              <w:left w:val="nil"/>
              <w:bottom w:val="nil"/>
              <w:right w:val="nil"/>
            </w:tcBorders>
            <w:shd w:val="clear" w:color="auto" w:fill="auto"/>
            <w:noWrap/>
            <w:vAlign w:val="center"/>
            <w:hideMark/>
          </w:tcPr>
          <w:p w:rsidR="00213DB9" w:rsidRPr="00945368" w:rsidRDefault="000B336F" w:rsidP="00945368">
            <w:pPr>
              <w:jc w:val="center"/>
            </w:pPr>
            <w:r>
              <w:t>-</w:t>
            </w:r>
            <w:r w:rsidR="00213DB9" w:rsidRPr="00945368">
              <w:t>101</w:t>
            </w:r>
          </w:p>
        </w:tc>
        <w:tc>
          <w:tcPr>
            <w:tcW w:w="961" w:type="pct"/>
            <w:tcBorders>
              <w:top w:val="nil"/>
              <w:left w:val="nil"/>
              <w:bottom w:val="nil"/>
            </w:tcBorders>
            <w:vAlign w:val="center"/>
          </w:tcPr>
          <w:p w:rsidR="00213DB9" w:rsidRPr="00213DB9" w:rsidRDefault="00213DB9" w:rsidP="008F5253">
            <w:pPr>
              <w:jc w:val="center"/>
            </w:pPr>
            <w:r w:rsidRPr="00213DB9">
              <w:t>69</w:t>
            </w:r>
          </w:p>
        </w:tc>
      </w:tr>
      <w:tr w:rsidR="00213DB9" w:rsidRPr="00125018" w:rsidTr="00A83B7B">
        <w:trPr>
          <w:cantSplit/>
          <w:trHeight w:val="397"/>
        </w:trPr>
        <w:tc>
          <w:tcPr>
            <w:tcW w:w="686" w:type="pct"/>
            <w:tcBorders>
              <w:top w:val="nil"/>
              <w:bottom w:val="nil"/>
              <w:right w:val="nil"/>
            </w:tcBorders>
            <w:shd w:val="clear" w:color="auto" w:fill="auto"/>
            <w:noWrap/>
            <w:vAlign w:val="center"/>
            <w:hideMark/>
          </w:tcPr>
          <w:p w:rsidR="00213DB9" w:rsidRPr="00125018" w:rsidRDefault="00213DB9" w:rsidP="003705F5">
            <w:pPr>
              <w:jc w:val="center"/>
            </w:pPr>
            <w:r w:rsidRPr="00125018">
              <w:t>2009</w:t>
            </w:r>
          </w:p>
        </w:tc>
        <w:tc>
          <w:tcPr>
            <w:tcW w:w="968" w:type="pct"/>
            <w:tcBorders>
              <w:top w:val="nil"/>
              <w:left w:val="nil"/>
              <w:bottom w:val="nil"/>
              <w:right w:val="nil"/>
            </w:tcBorders>
            <w:shd w:val="clear" w:color="auto" w:fill="auto"/>
            <w:noWrap/>
            <w:vAlign w:val="center"/>
            <w:hideMark/>
          </w:tcPr>
          <w:p w:rsidR="00213DB9" w:rsidRPr="00125018" w:rsidRDefault="00213DB9" w:rsidP="003705F5">
            <w:pPr>
              <w:jc w:val="center"/>
            </w:pPr>
            <w:r w:rsidRPr="00125018">
              <w:t>161.387</w:t>
            </w:r>
          </w:p>
        </w:tc>
        <w:tc>
          <w:tcPr>
            <w:tcW w:w="1232" w:type="pct"/>
            <w:tcBorders>
              <w:top w:val="nil"/>
              <w:left w:val="nil"/>
              <w:bottom w:val="nil"/>
              <w:right w:val="nil"/>
            </w:tcBorders>
            <w:shd w:val="clear" w:color="auto" w:fill="auto"/>
            <w:noWrap/>
            <w:vAlign w:val="center"/>
            <w:hideMark/>
          </w:tcPr>
          <w:p w:rsidR="00213DB9" w:rsidRPr="00125018" w:rsidRDefault="00213DB9" w:rsidP="003705F5">
            <w:pPr>
              <w:jc w:val="center"/>
            </w:pPr>
            <w:r w:rsidRPr="00125018">
              <w:t>12</w:t>
            </w:r>
          </w:p>
        </w:tc>
        <w:tc>
          <w:tcPr>
            <w:tcW w:w="1153" w:type="pct"/>
            <w:tcBorders>
              <w:top w:val="nil"/>
              <w:left w:val="nil"/>
              <w:bottom w:val="nil"/>
              <w:right w:val="nil"/>
            </w:tcBorders>
            <w:shd w:val="clear" w:color="auto" w:fill="auto"/>
            <w:noWrap/>
            <w:vAlign w:val="center"/>
            <w:hideMark/>
          </w:tcPr>
          <w:p w:rsidR="00213DB9" w:rsidRPr="00945368" w:rsidRDefault="000B336F" w:rsidP="00945368">
            <w:pPr>
              <w:jc w:val="center"/>
            </w:pPr>
            <w:r>
              <w:t>-</w:t>
            </w:r>
            <w:r w:rsidR="00213DB9" w:rsidRPr="00945368">
              <w:t>79</w:t>
            </w:r>
          </w:p>
        </w:tc>
        <w:tc>
          <w:tcPr>
            <w:tcW w:w="961" w:type="pct"/>
            <w:tcBorders>
              <w:top w:val="nil"/>
              <w:left w:val="nil"/>
              <w:bottom w:val="nil"/>
            </w:tcBorders>
            <w:vAlign w:val="center"/>
          </w:tcPr>
          <w:p w:rsidR="00213DB9" w:rsidRPr="00213DB9" w:rsidRDefault="00213DB9" w:rsidP="008F5253">
            <w:pPr>
              <w:jc w:val="center"/>
            </w:pPr>
            <w:r w:rsidRPr="00213DB9">
              <w:t>77</w:t>
            </w:r>
          </w:p>
        </w:tc>
      </w:tr>
      <w:tr w:rsidR="00213DB9" w:rsidRPr="00125018" w:rsidTr="00A83B7B">
        <w:trPr>
          <w:cantSplit/>
          <w:trHeight w:val="397"/>
        </w:trPr>
        <w:tc>
          <w:tcPr>
            <w:tcW w:w="686" w:type="pct"/>
            <w:tcBorders>
              <w:top w:val="nil"/>
              <w:bottom w:val="nil"/>
              <w:right w:val="nil"/>
            </w:tcBorders>
            <w:shd w:val="clear" w:color="auto" w:fill="auto"/>
            <w:noWrap/>
            <w:vAlign w:val="center"/>
            <w:hideMark/>
          </w:tcPr>
          <w:p w:rsidR="00213DB9" w:rsidRPr="00125018" w:rsidRDefault="00213DB9" w:rsidP="003705F5">
            <w:pPr>
              <w:jc w:val="center"/>
            </w:pPr>
            <w:r w:rsidRPr="00125018">
              <w:t>2010</w:t>
            </w:r>
          </w:p>
        </w:tc>
        <w:tc>
          <w:tcPr>
            <w:tcW w:w="968" w:type="pct"/>
            <w:tcBorders>
              <w:top w:val="nil"/>
              <w:left w:val="nil"/>
              <w:bottom w:val="nil"/>
              <w:right w:val="nil"/>
            </w:tcBorders>
            <w:shd w:val="clear" w:color="auto" w:fill="auto"/>
            <w:noWrap/>
            <w:vAlign w:val="center"/>
            <w:hideMark/>
          </w:tcPr>
          <w:p w:rsidR="00213DB9" w:rsidRPr="00125018" w:rsidRDefault="00213DB9" w:rsidP="003705F5">
            <w:pPr>
              <w:jc w:val="center"/>
            </w:pPr>
            <w:r w:rsidRPr="00125018">
              <w:t>166.752</w:t>
            </w:r>
          </w:p>
        </w:tc>
        <w:tc>
          <w:tcPr>
            <w:tcW w:w="1232" w:type="pct"/>
            <w:tcBorders>
              <w:top w:val="nil"/>
              <w:left w:val="nil"/>
              <w:bottom w:val="nil"/>
              <w:right w:val="nil"/>
            </w:tcBorders>
            <w:shd w:val="clear" w:color="auto" w:fill="auto"/>
            <w:noWrap/>
            <w:vAlign w:val="center"/>
            <w:hideMark/>
          </w:tcPr>
          <w:p w:rsidR="00213DB9" w:rsidRPr="00125018" w:rsidRDefault="00213DB9" w:rsidP="003705F5">
            <w:pPr>
              <w:jc w:val="center"/>
            </w:pPr>
            <w:r w:rsidRPr="00125018">
              <w:t>3</w:t>
            </w:r>
          </w:p>
        </w:tc>
        <w:tc>
          <w:tcPr>
            <w:tcW w:w="1153" w:type="pct"/>
            <w:tcBorders>
              <w:top w:val="nil"/>
              <w:left w:val="nil"/>
              <w:bottom w:val="nil"/>
              <w:right w:val="nil"/>
            </w:tcBorders>
            <w:shd w:val="clear" w:color="auto" w:fill="auto"/>
            <w:noWrap/>
            <w:vAlign w:val="center"/>
            <w:hideMark/>
          </w:tcPr>
          <w:p w:rsidR="00213DB9" w:rsidRPr="00945368" w:rsidRDefault="000B336F" w:rsidP="00945368">
            <w:pPr>
              <w:jc w:val="center"/>
            </w:pPr>
            <w:r>
              <w:t>-</w:t>
            </w:r>
            <w:r w:rsidR="00213DB9" w:rsidRPr="00945368">
              <w:t>73</w:t>
            </w:r>
          </w:p>
        </w:tc>
        <w:tc>
          <w:tcPr>
            <w:tcW w:w="961" w:type="pct"/>
            <w:tcBorders>
              <w:top w:val="nil"/>
              <w:left w:val="nil"/>
              <w:bottom w:val="nil"/>
            </w:tcBorders>
            <w:vAlign w:val="center"/>
          </w:tcPr>
          <w:p w:rsidR="00213DB9" w:rsidRPr="00213DB9" w:rsidRDefault="00213DB9" w:rsidP="008F5253">
            <w:pPr>
              <w:jc w:val="center"/>
            </w:pPr>
            <w:r w:rsidRPr="00213DB9">
              <w:t>80</w:t>
            </w:r>
          </w:p>
        </w:tc>
      </w:tr>
      <w:tr w:rsidR="00213DB9" w:rsidRPr="00125018" w:rsidTr="00A83B7B">
        <w:trPr>
          <w:cantSplit/>
          <w:trHeight w:val="397"/>
        </w:trPr>
        <w:tc>
          <w:tcPr>
            <w:tcW w:w="686" w:type="pct"/>
            <w:tcBorders>
              <w:top w:val="nil"/>
              <w:bottom w:val="nil"/>
              <w:right w:val="nil"/>
            </w:tcBorders>
            <w:shd w:val="clear" w:color="auto" w:fill="auto"/>
            <w:noWrap/>
            <w:vAlign w:val="center"/>
            <w:hideMark/>
          </w:tcPr>
          <w:p w:rsidR="00213DB9" w:rsidRPr="00125018" w:rsidRDefault="00213DB9" w:rsidP="003705F5">
            <w:pPr>
              <w:jc w:val="center"/>
            </w:pPr>
            <w:r w:rsidRPr="00125018">
              <w:t>2011</w:t>
            </w:r>
          </w:p>
        </w:tc>
        <w:tc>
          <w:tcPr>
            <w:tcW w:w="968" w:type="pct"/>
            <w:tcBorders>
              <w:top w:val="nil"/>
              <w:left w:val="nil"/>
              <w:bottom w:val="nil"/>
              <w:right w:val="nil"/>
            </w:tcBorders>
            <w:shd w:val="clear" w:color="auto" w:fill="auto"/>
            <w:noWrap/>
            <w:vAlign w:val="center"/>
            <w:hideMark/>
          </w:tcPr>
          <w:p w:rsidR="00213DB9" w:rsidRPr="00125018" w:rsidRDefault="00213DB9" w:rsidP="003705F5">
            <w:pPr>
              <w:jc w:val="center"/>
            </w:pPr>
            <w:r w:rsidRPr="00125018">
              <w:t>177.169</w:t>
            </w:r>
          </w:p>
        </w:tc>
        <w:tc>
          <w:tcPr>
            <w:tcW w:w="1232" w:type="pct"/>
            <w:tcBorders>
              <w:top w:val="nil"/>
              <w:left w:val="nil"/>
              <w:bottom w:val="nil"/>
              <w:right w:val="nil"/>
            </w:tcBorders>
            <w:shd w:val="clear" w:color="auto" w:fill="auto"/>
            <w:noWrap/>
            <w:vAlign w:val="center"/>
            <w:hideMark/>
          </w:tcPr>
          <w:p w:rsidR="00213DB9" w:rsidRPr="00125018" w:rsidRDefault="00213DB9" w:rsidP="003705F5">
            <w:pPr>
              <w:jc w:val="center"/>
            </w:pPr>
            <w:r w:rsidRPr="00125018">
              <w:t>6</w:t>
            </w:r>
          </w:p>
        </w:tc>
        <w:tc>
          <w:tcPr>
            <w:tcW w:w="1153" w:type="pct"/>
            <w:tcBorders>
              <w:top w:val="nil"/>
              <w:left w:val="nil"/>
              <w:bottom w:val="nil"/>
              <w:right w:val="nil"/>
            </w:tcBorders>
            <w:shd w:val="clear" w:color="auto" w:fill="auto"/>
            <w:noWrap/>
            <w:vAlign w:val="center"/>
            <w:hideMark/>
          </w:tcPr>
          <w:p w:rsidR="00213DB9" w:rsidRPr="00945368" w:rsidRDefault="000B336F" w:rsidP="00945368">
            <w:pPr>
              <w:jc w:val="center"/>
            </w:pPr>
            <w:r>
              <w:t>-</w:t>
            </w:r>
            <w:r w:rsidR="00213DB9" w:rsidRPr="00945368">
              <w:t>63</w:t>
            </w:r>
          </w:p>
        </w:tc>
        <w:tc>
          <w:tcPr>
            <w:tcW w:w="961" w:type="pct"/>
            <w:tcBorders>
              <w:top w:val="nil"/>
              <w:left w:val="nil"/>
              <w:bottom w:val="nil"/>
            </w:tcBorders>
            <w:vAlign w:val="center"/>
          </w:tcPr>
          <w:p w:rsidR="00213DB9" w:rsidRPr="00213DB9" w:rsidRDefault="00213DB9" w:rsidP="008F5253">
            <w:pPr>
              <w:jc w:val="center"/>
            </w:pPr>
            <w:r w:rsidRPr="00213DB9">
              <w:t>85</w:t>
            </w:r>
          </w:p>
        </w:tc>
      </w:tr>
      <w:tr w:rsidR="00213DB9" w:rsidRPr="00125018" w:rsidTr="00A83B7B">
        <w:trPr>
          <w:cantSplit/>
          <w:trHeight w:val="397"/>
        </w:trPr>
        <w:tc>
          <w:tcPr>
            <w:tcW w:w="686" w:type="pct"/>
            <w:tcBorders>
              <w:top w:val="nil"/>
              <w:bottom w:val="nil"/>
              <w:right w:val="nil"/>
            </w:tcBorders>
            <w:shd w:val="clear" w:color="auto" w:fill="auto"/>
            <w:noWrap/>
            <w:vAlign w:val="center"/>
          </w:tcPr>
          <w:p w:rsidR="00213DB9" w:rsidRPr="00945368" w:rsidRDefault="00213DB9" w:rsidP="00C700C8">
            <w:pPr>
              <w:jc w:val="center"/>
            </w:pPr>
            <w:r w:rsidRPr="00945368">
              <w:t>2012</w:t>
            </w:r>
          </w:p>
        </w:tc>
        <w:tc>
          <w:tcPr>
            <w:tcW w:w="968" w:type="pct"/>
            <w:tcBorders>
              <w:top w:val="nil"/>
              <w:left w:val="nil"/>
              <w:bottom w:val="nil"/>
              <w:right w:val="nil"/>
            </w:tcBorders>
            <w:shd w:val="clear" w:color="auto" w:fill="auto"/>
            <w:noWrap/>
            <w:vAlign w:val="center"/>
          </w:tcPr>
          <w:p w:rsidR="00213DB9" w:rsidRPr="00945368" w:rsidRDefault="00213DB9" w:rsidP="00C700C8">
            <w:pPr>
              <w:jc w:val="center"/>
            </w:pPr>
            <w:r w:rsidRPr="00945368">
              <w:t>231.921</w:t>
            </w:r>
          </w:p>
        </w:tc>
        <w:tc>
          <w:tcPr>
            <w:tcW w:w="1232" w:type="pct"/>
            <w:tcBorders>
              <w:top w:val="nil"/>
              <w:left w:val="nil"/>
              <w:bottom w:val="nil"/>
              <w:right w:val="nil"/>
            </w:tcBorders>
            <w:shd w:val="clear" w:color="auto" w:fill="auto"/>
            <w:noWrap/>
            <w:vAlign w:val="center"/>
          </w:tcPr>
          <w:p w:rsidR="00213DB9" w:rsidRPr="00945368" w:rsidRDefault="00213DB9" w:rsidP="00C700C8">
            <w:pPr>
              <w:jc w:val="center"/>
            </w:pPr>
            <w:r w:rsidRPr="00945368">
              <w:t>31</w:t>
            </w:r>
          </w:p>
        </w:tc>
        <w:tc>
          <w:tcPr>
            <w:tcW w:w="1153" w:type="pct"/>
            <w:tcBorders>
              <w:top w:val="nil"/>
              <w:left w:val="nil"/>
              <w:bottom w:val="nil"/>
              <w:right w:val="nil"/>
            </w:tcBorders>
            <w:shd w:val="clear" w:color="auto" w:fill="auto"/>
            <w:noWrap/>
            <w:vAlign w:val="center"/>
          </w:tcPr>
          <w:p w:rsidR="00213DB9" w:rsidRPr="00945368" w:rsidRDefault="000B336F" w:rsidP="00945368">
            <w:pPr>
              <w:jc w:val="center"/>
            </w:pPr>
            <w:r>
              <w:t>-</w:t>
            </w:r>
            <w:r w:rsidR="00213DB9" w:rsidRPr="00945368">
              <w:t>24</w:t>
            </w:r>
          </w:p>
        </w:tc>
        <w:tc>
          <w:tcPr>
            <w:tcW w:w="961" w:type="pct"/>
            <w:tcBorders>
              <w:top w:val="nil"/>
              <w:left w:val="nil"/>
              <w:bottom w:val="nil"/>
            </w:tcBorders>
            <w:vAlign w:val="center"/>
          </w:tcPr>
          <w:p w:rsidR="00213DB9" w:rsidRPr="00213DB9" w:rsidRDefault="00213DB9" w:rsidP="008F5253">
            <w:pPr>
              <w:jc w:val="center"/>
            </w:pPr>
            <w:r w:rsidRPr="00213DB9">
              <w:t>111</w:t>
            </w:r>
          </w:p>
        </w:tc>
      </w:tr>
      <w:tr w:rsidR="00213DB9" w:rsidRPr="00125018" w:rsidTr="00A83B7B">
        <w:trPr>
          <w:cantSplit/>
          <w:trHeight w:val="397"/>
        </w:trPr>
        <w:tc>
          <w:tcPr>
            <w:tcW w:w="686" w:type="pct"/>
            <w:tcBorders>
              <w:top w:val="nil"/>
              <w:bottom w:val="double" w:sz="4" w:space="0" w:color="auto"/>
              <w:right w:val="nil"/>
            </w:tcBorders>
            <w:shd w:val="clear" w:color="auto" w:fill="auto"/>
            <w:noWrap/>
            <w:vAlign w:val="center"/>
          </w:tcPr>
          <w:p w:rsidR="00213DB9" w:rsidRPr="00436FDC" w:rsidRDefault="00213DB9" w:rsidP="003705F5">
            <w:pPr>
              <w:jc w:val="center"/>
            </w:pPr>
            <w:r w:rsidRPr="00436FDC">
              <w:t>2013</w:t>
            </w:r>
          </w:p>
        </w:tc>
        <w:tc>
          <w:tcPr>
            <w:tcW w:w="968" w:type="pct"/>
            <w:tcBorders>
              <w:top w:val="nil"/>
              <w:left w:val="nil"/>
              <w:bottom w:val="double" w:sz="4" w:space="0" w:color="auto"/>
              <w:right w:val="nil"/>
            </w:tcBorders>
            <w:shd w:val="clear" w:color="auto" w:fill="auto"/>
            <w:noWrap/>
            <w:vAlign w:val="center"/>
          </w:tcPr>
          <w:p w:rsidR="00213DB9" w:rsidRPr="00436FDC" w:rsidRDefault="00213DB9" w:rsidP="00945368">
            <w:pPr>
              <w:jc w:val="center"/>
            </w:pPr>
            <w:r w:rsidRPr="00436FDC">
              <w:t>288.717</w:t>
            </w:r>
          </w:p>
        </w:tc>
        <w:tc>
          <w:tcPr>
            <w:tcW w:w="1232" w:type="pct"/>
            <w:tcBorders>
              <w:top w:val="nil"/>
              <w:left w:val="nil"/>
              <w:bottom w:val="double" w:sz="4" w:space="0" w:color="auto"/>
              <w:right w:val="nil"/>
            </w:tcBorders>
            <w:shd w:val="clear" w:color="auto" w:fill="auto"/>
            <w:noWrap/>
            <w:vAlign w:val="center"/>
          </w:tcPr>
          <w:p w:rsidR="00213DB9" w:rsidRPr="00436FDC" w:rsidRDefault="00213DB9" w:rsidP="00945368">
            <w:pPr>
              <w:jc w:val="center"/>
            </w:pPr>
            <w:r w:rsidRPr="00436FDC">
              <w:t>24</w:t>
            </w:r>
          </w:p>
        </w:tc>
        <w:tc>
          <w:tcPr>
            <w:tcW w:w="1153" w:type="pct"/>
            <w:tcBorders>
              <w:top w:val="nil"/>
              <w:left w:val="nil"/>
              <w:bottom w:val="double" w:sz="4" w:space="0" w:color="auto"/>
              <w:right w:val="nil"/>
            </w:tcBorders>
            <w:shd w:val="clear" w:color="auto" w:fill="auto"/>
            <w:noWrap/>
            <w:vAlign w:val="center"/>
          </w:tcPr>
          <w:p w:rsidR="00213DB9" w:rsidRPr="00436FDC" w:rsidRDefault="00213DB9" w:rsidP="00945368">
            <w:pPr>
              <w:jc w:val="center"/>
            </w:pPr>
            <w:r w:rsidRPr="00436FDC">
              <w:t>0</w:t>
            </w:r>
          </w:p>
        </w:tc>
        <w:tc>
          <w:tcPr>
            <w:tcW w:w="961" w:type="pct"/>
            <w:tcBorders>
              <w:top w:val="nil"/>
              <w:left w:val="nil"/>
              <w:bottom w:val="double" w:sz="4" w:space="0" w:color="auto"/>
            </w:tcBorders>
            <w:vAlign w:val="center"/>
          </w:tcPr>
          <w:p w:rsidR="00213DB9" w:rsidRPr="00213DB9" w:rsidRDefault="00213DB9" w:rsidP="008F5253">
            <w:pPr>
              <w:jc w:val="center"/>
            </w:pPr>
            <w:r w:rsidRPr="00213DB9">
              <w:t>138</w:t>
            </w:r>
          </w:p>
        </w:tc>
      </w:tr>
    </w:tbl>
    <w:p w:rsidR="005E5AD6" w:rsidRDefault="005E5AD6" w:rsidP="00E84D00">
      <w:pPr>
        <w:ind w:firstLine="708"/>
        <w:jc w:val="both"/>
      </w:pPr>
    </w:p>
    <w:p w:rsidR="00F552F3" w:rsidRDefault="002D78A6" w:rsidP="00E84D00">
      <w:pPr>
        <w:ind w:firstLine="708"/>
        <w:jc w:val="both"/>
      </w:pPr>
      <w:r w:rsidRPr="00125018">
        <w:t>2006 yılının başlangıç</w:t>
      </w:r>
      <w:r w:rsidR="002942B2">
        <w:t xml:space="preserve"> olarak alındığı</w:t>
      </w:r>
      <w:r w:rsidRPr="00125018">
        <w:t xml:space="preserve"> durumda </w:t>
      </w:r>
      <w:r w:rsidR="00051D6B">
        <w:t xml:space="preserve">inceleme dönemi boyunca yaşanan </w:t>
      </w:r>
      <w:r w:rsidR="00132994" w:rsidRPr="00125018">
        <w:t xml:space="preserve">ithalat </w:t>
      </w:r>
      <w:r w:rsidRPr="00125018">
        <w:t>artış</w:t>
      </w:r>
      <w:r w:rsidR="00132994">
        <w:t>ı %38</w:t>
      </w:r>
      <w:r w:rsidRPr="00125018">
        <w:t xml:space="preserve"> oranında; 2007 yılın</w:t>
      </w:r>
      <w:r w:rsidR="00132994">
        <w:t>ın başlangıç olduğu durumda %37</w:t>
      </w:r>
      <w:r w:rsidR="00280DB6">
        <w:t xml:space="preserve"> oranında, 2008</w:t>
      </w:r>
      <w:r w:rsidRPr="00125018">
        <w:t xml:space="preserve"> yılının </w:t>
      </w:r>
      <w:r w:rsidR="00132994">
        <w:t>başlangıç olduğu durumda ise %101</w:t>
      </w:r>
      <w:r w:rsidRPr="00125018">
        <w:t xml:space="preserve"> oranında olmaktadı</w:t>
      </w:r>
      <w:r w:rsidR="00280DB6">
        <w:t>r. Soruşturma inceleme dönemi</w:t>
      </w:r>
      <w:r w:rsidRPr="00125018">
        <w:t xml:space="preserve"> </w:t>
      </w:r>
      <w:r w:rsidR="00280DB6">
        <w:t xml:space="preserve">başlangıcının </w:t>
      </w:r>
      <w:r w:rsidRPr="00125018">
        <w:t xml:space="preserve">2006 ya da 2007 yılı alınması durumunda inceleme döneminin başına göre gerçekleşen ithalat artış oranında önemli bir düşüş olduğu </w:t>
      </w:r>
      <w:r w:rsidR="00776A00" w:rsidRPr="00125018">
        <w:t>açıktır</w:t>
      </w:r>
      <w:r w:rsidRPr="00125018">
        <w:t xml:space="preserve">. Bunun nedeni 2008 </w:t>
      </w:r>
      <w:r w:rsidRPr="00125018">
        <w:lastRenderedPageBreak/>
        <w:t>yılında PTA ithalatında yaşanan düşüştür.</w:t>
      </w:r>
      <w:r w:rsidR="008B4EA4" w:rsidRPr="00125018">
        <w:t xml:space="preserve"> </w:t>
      </w:r>
      <w:r w:rsidR="00F552F3">
        <w:t>Bu düşüşte sentetik iplik ve elyaf</w:t>
      </w:r>
      <w:r w:rsidR="00F552F3" w:rsidRPr="004A6B6D">
        <w:t xml:space="preserve"> sektörün</w:t>
      </w:r>
      <w:r w:rsidR="00F552F3">
        <w:t>d</w:t>
      </w:r>
      <w:r w:rsidR="00F552F3" w:rsidRPr="004A6B6D">
        <w:t xml:space="preserve">e </w:t>
      </w:r>
      <w:r w:rsidR="00D76A83">
        <w:t xml:space="preserve">faaliyet gösteren firmalardan </w:t>
      </w:r>
      <w:r w:rsidR="00F552F3" w:rsidRPr="004A6B6D">
        <w:t>Nergis Tekstil Sanayi ve Ticaret A.Ş</w:t>
      </w:r>
      <w:r w:rsidR="00F552F3">
        <w:t>.’</w:t>
      </w:r>
      <w:proofErr w:type="spellStart"/>
      <w:r w:rsidR="00F552F3">
        <w:t>nin</w:t>
      </w:r>
      <w:proofErr w:type="spellEnd"/>
      <w:r w:rsidR="00D76A83" w:rsidRPr="00D76A83">
        <w:t xml:space="preserve"> </w:t>
      </w:r>
      <w:r w:rsidR="00D76A83">
        <w:t>O</w:t>
      </w:r>
      <w:r w:rsidR="00D76A83" w:rsidRPr="004A6B6D">
        <w:t xml:space="preserve">cak </w:t>
      </w:r>
      <w:proofErr w:type="spellStart"/>
      <w:r w:rsidR="00D76A83" w:rsidRPr="004A6B6D">
        <w:t>2008’de</w:t>
      </w:r>
      <w:proofErr w:type="spellEnd"/>
      <w:r w:rsidR="00F552F3">
        <w:t>,</w:t>
      </w:r>
      <w:r w:rsidR="00F552F3" w:rsidRPr="004A6B6D">
        <w:t xml:space="preserve"> </w:t>
      </w:r>
      <w:proofErr w:type="spellStart"/>
      <w:r w:rsidR="00F552F3" w:rsidRPr="004A6B6D">
        <w:t>Sifaş</w:t>
      </w:r>
      <w:proofErr w:type="spellEnd"/>
      <w:r w:rsidR="00F552F3" w:rsidRPr="004A6B6D">
        <w:t xml:space="preserve"> Sentetik İplik Fabrikaları A.Ş.</w:t>
      </w:r>
      <w:r w:rsidR="00F552F3">
        <w:t>’</w:t>
      </w:r>
      <w:proofErr w:type="spellStart"/>
      <w:r w:rsidR="00F552F3">
        <w:t>nin</w:t>
      </w:r>
      <w:proofErr w:type="spellEnd"/>
      <w:r w:rsidR="00D76A83" w:rsidRPr="00D76A83">
        <w:t xml:space="preserve"> </w:t>
      </w:r>
      <w:r w:rsidR="00D76A83">
        <w:t>H</w:t>
      </w:r>
      <w:r w:rsidR="00D76A83" w:rsidRPr="004A6B6D">
        <w:t xml:space="preserve">aziran </w:t>
      </w:r>
      <w:proofErr w:type="spellStart"/>
      <w:r w:rsidR="00D76A83" w:rsidRPr="004A6B6D">
        <w:t>2008’de</w:t>
      </w:r>
      <w:proofErr w:type="spellEnd"/>
      <w:r w:rsidR="00F552F3">
        <w:t xml:space="preserve">, </w:t>
      </w:r>
      <w:r w:rsidR="00F552F3" w:rsidRPr="004A6B6D">
        <w:t xml:space="preserve">Sönmez </w:t>
      </w:r>
      <w:proofErr w:type="spellStart"/>
      <w:r w:rsidR="00F552F3" w:rsidRPr="004A6B6D">
        <w:t>Filament</w:t>
      </w:r>
      <w:proofErr w:type="spellEnd"/>
      <w:r w:rsidR="00F552F3" w:rsidRPr="004A6B6D">
        <w:t xml:space="preserve"> Sentetik İplik ve Elyaf Sanayi A.Ş</w:t>
      </w:r>
      <w:r w:rsidR="00F552F3">
        <w:t>.’</w:t>
      </w:r>
      <w:proofErr w:type="spellStart"/>
      <w:r w:rsidR="00D76A83">
        <w:t>nin</w:t>
      </w:r>
      <w:proofErr w:type="spellEnd"/>
      <w:r w:rsidR="00D76A83" w:rsidRPr="004A6B6D">
        <w:t xml:space="preserve"> de</w:t>
      </w:r>
      <w:r w:rsidR="00D76A83">
        <w:t xml:space="preserve"> Ağustos</w:t>
      </w:r>
      <w:r w:rsidR="00D76A83" w:rsidRPr="004A6B6D">
        <w:t xml:space="preserve"> </w:t>
      </w:r>
      <w:proofErr w:type="spellStart"/>
      <w:r w:rsidR="00D76A83" w:rsidRPr="004A6B6D">
        <w:t>2008’de</w:t>
      </w:r>
      <w:proofErr w:type="spellEnd"/>
      <w:r w:rsidR="00D76A83" w:rsidRPr="004A6B6D">
        <w:t xml:space="preserve"> </w:t>
      </w:r>
      <w:r w:rsidR="00F552F3">
        <w:t>üretimlerini durdurmaları etkili olmuştur.</w:t>
      </w:r>
      <w:r w:rsidR="00F552F3" w:rsidRPr="004A6B6D">
        <w:t xml:space="preserve"> </w:t>
      </w:r>
    </w:p>
    <w:p w:rsidR="00F552F3" w:rsidRDefault="00F552F3" w:rsidP="00E84D00">
      <w:pPr>
        <w:ind w:firstLine="708"/>
        <w:jc w:val="both"/>
      </w:pPr>
    </w:p>
    <w:p w:rsidR="008B4EA4" w:rsidRDefault="008B4EA4" w:rsidP="00E84D00">
      <w:pPr>
        <w:ind w:firstLine="708"/>
        <w:jc w:val="both"/>
      </w:pPr>
      <w:r w:rsidRPr="00125018">
        <w:t xml:space="preserve">Ancak, </w:t>
      </w:r>
      <w:r w:rsidR="00776A00" w:rsidRPr="00125018">
        <w:t xml:space="preserve">bu durumda dahi </w:t>
      </w:r>
      <w:r w:rsidRPr="00125018">
        <w:t xml:space="preserve">son </w:t>
      </w:r>
      <w:r w:rsidR="00132994">
        <w:t xml:space="preserve">2 </w:t>
      </w:r>
      <w:r w:rsidRPr="00125018">
        <w:t xml:space="preserve">yılda yaşanan önemli artış oranında </w:t>
      </w:r>
      <w:r w:rsidR="00132994">
        <w:t>bir değişiklik olmamakta ve 2013</w:t>
      </w:r>
      <w:r w:rsidRPr="00125018">
        <w:t xml:space="preserve"> yılındaki ithalat her halükarda inceleme döneminin başlangıç yılına </w:t>
      </w:r>
      <w:r w:rsidR="005076E0">
        <w:t xml:space="preserve">göre </w:t>
      </w:r>
      <w:r w:rsidR="00EA57DE">
        <w:t>%40 ila</w:t>
      </w:r>
      <w:r w:rsidR="00132994">
        <w:t xml:space="preserve"> %100 arasında değişen oranlarda </w:t>
      </w:r>
      <w:r w:rsidRPr="00125018">
        <w:t xml:space="preserve">artmış görünmektedir. </w:t>
      </w:r>
      <w:r w:rsidR="002C01A9">
        <w:t>İ</w:t>
      </w:r>
      <w:r w:rsidR="00776A00" w:rsidRPr="00125018">
        <w:t>thalat</w:t>
      </w:r>
      <w:r w:rsidR="002C01A9">
        <w:t xml:space="preserve"> soruşturma dönemi boyunca</w:t>
      </w:r>
      <w:r w:rsidR="00776A00" w:rsidRPr="00125018">
        <w:t xml:space="preserve"> düzenli olarak artmayı sürdürmüştür. </w:t>
      </w:r>
    </w:p>
    <w:p w:rsidR="00E84D00" w:rsidRPr="00125018" w:rsidRDefault="00E84D00" w:rsidP="00EE6477">
      <w:pPr>
        <w:jc w:val="both"/>
      </w:pPr>
    </w:p>
    <w:p w:rsidR="002B369D" w:rsidRPr="00BF159F" w:rsidRDefault="008B4EA4" w:rsidP="007278E1">
      <w:pPr>
        <w:ind w:firstLine="708"/>
        <w:jc w:val="both"/>
      </w:pPr>
      <w:r w:rsidRPr="00125018">
        <w:t xml:space="preserve">İlgili tarafların iddia ettiğinin aksine, soruşturma sırasında 2008 yılı özellikle seçilmemiş, genel uygulama çerçevesinde yerli üreticiden </w:t>
      </w:r>
      <w:r w:rsidR="002942B2">
        <w:t xml:space="preserve">başvuruda bulunduğu yıl ve geriye doğru 4 yıl olmak </w:t>
      </w:r>
      <w:proofErr w:type="spellStart"/>
      <w:r w:rsidR="002942B2">
        <w:t>üzere</w:t>
      </w:r>
      <w:r w:rsidRPr="00125018">
        <w:t>on</w:t>
      </w:r>
      <w:proofErr w:type="spellEnd"/>
      <w:r w:rsidRPr="00125018">
        <w:t xml:space="preserve"> 5 yıla ait verileri talep edilmiş ve bu verilerle karşılaştırılmak üzere son 5 yıllık ithalat </w:t>
      </w:r>
      <w:r w:rsidRPr="00BF159F">
        <w:t xml:space="preserve">verileri kullanılmıştır. </w:t>
      </w:r>
      <w:r w:rsidR="00132994" w:rsidRPr="00BF159F">
        <w:t>Soruşturma sürecinin uzaması neticesinde 2013 yılının tamamına ilişkin veriler de yerli ür</w:t>
      </w:r>
      <w:r w:rsidR="00280DB6" w:rsidRPr="00BF159F">
        <w:t>eticiden alınarak kullanılmış</w:t>
      </w:r>
      <w:r w:rsidR="00051D6B" w:rsidRPr="00BF159F">
        <w:t>, bu yılda ithalatta yaşanan değişimler</w:t>
      </w:r>
      <w:r w:rsidR="002C01A9" w:rsidRPr="00BF159F">
        <w:t xml:space="preserve"> </w:t>
      </w:r>
      <w:r w:rsidR="00051D6B" w:rsidRPr="00BF159F">
        <w:t>de değerlendirmeye alınmıştır</w:t>
      </w:r>
      <w:r w:rsidR="00132994" w:rsidRPr="00BF159F">
        <w:t>.</w:t>
      </w:r>
      <w:r w:rsidR="00647061" w:rsidRPr="00BF159F">
        <w:t xml:space="preserve"> Diğer taraftan, 2013 yılına ilişkin veriler ilgili taraflarla da paylaşılmış ve ilgili taraflara görüşlerini iletmeleri için yeterli zaman tanınmıştır. </w:t>
      </w:r>
      <w:r w:rsidR="007278E1" w:rsidRPr="00BF159F">
        <w:t>S</w:t>
      </w:r>
      <w:r w:rsidR="00E86310" w:rsidRPr="00BF159F">
        <w:t xml:space="preserve">oruşturma dönemi </w:t>
      </w:r>
      <w:r w:rsidR="007278E1" w:rsidRPr="00BF159F">
        <w:t>olarak 2009-2013 dönemi alınması durumunda</w:t>
      </w:r>
      <w:r w:rsidR="002B369D" w:rsidRPr="00BF159F">
        <w:t xml:space="preserve">-ki </w:t>
      </w:r>
      <w:r w:rsidR="007278E1" w:rsidRPr="00BF159F">
        <w:t>bu durum</w:t>
      </w:r>
      <w:r w:rsidR="00EA57DE">
        <w:t>da</w:t>
      </w:r>
      <w:r w:rsidR="007278E1" w:rsidRPr="00BF159F">
        <w:t xml:space="preserve"> </w:t>
      </w:r>
      <w:r w:rsidR="002B369D" w:rsidRPr="00BF159F">
        <w:t>soruşturma döneminin değiştirilmesi</w:t>
      </w:r>
      <w:r w:rsidR="007278E1" w:rsidRPr="00BF159F">
        <w:t xml:space="preserve"> gibi bir sonuç ortaya çıkacaktır</w:t>
      </w:r>
      <w:r w:rsidR="002B369D" w:rsidRPr="00BF159F">
        <w:t>- it</w:t>
      </w:r>
      <w:r w:rsidR="007278E1" w:rsidRPr="00BF159F">
        <w:t>halat artışının ve yerli üretimin göstergelerinin</w:t>
      </w:r>
      <w:r w:rsidR="002B369D" w:rsidRPr="00BF159F">
        <w:t xml:space="preserve"> </w:t>
      </w:r>
      <w:r w:rsidR="007278E1" w:rsidRPr="00BF159F">
        <w:t>eğiliminde</w:t>
      </w:r>
      <w:r w:rsidR="002B369D" w:rsidRPr="00BF159F">
        <w:t xml:space="preserve"> </w:t>
      </w:r>
      <w:r w:rsidR="007278E1" w:rsidRPr="00BF159F">
        <w:t>bir değişiklik görülmemektedir</w:t>
      </w:r>
      <w:r w:rsidR="002B369D" w:rsidRPr="00BF159F">
        <w:t>.</w:t>
      </w:r>
      <w:r w:rsidR="006214F7">
        <w:t xml:space="preserve"> 2013</w:t>
      </w:r>
      <w:r w:rsidR="007278E1" w:rsidRPr="00BF159F">
        <w:t xml:space="preserve"> yılında 2008 yılına göre %101 </w:t>
      </w:r>
      <w:r w:rsidR="006214F7">
        <w:t xml:space="preserve">oranında artan ithalat </w:t>
      </w:r>
      <w:r w:rsidR="002B369D" w:rsidRPr="00BF159F">
        <w:t xml:space="preserve">2009 yılına göre </w:t>
      </w:r>
      <w:r w:rsidR="006214F7">
        <w:t>ise %</w:t>
      </w:r>
      <w:r w:rsidR="002B369D" w:rsidRPr="00BF159F">
        <w:t xml:space="preserve">79 oranında </w:t>
      </w:r>
      <w:r w:rsidR="006214F7">
        <w:t>artmıştır</w:t>
      </w:r>
      <w:r w:rsidR="002B369D" w:rsidRPr="00BF159F">
        <w:t>.</w:t>
      </w:r>
      <w:r w:rsidR="00B25A6F" w:rsidRPr="00BF159F">
        <w:t xml:space="preserve"> Üretim mi</w:t>
      </w:r>
      <w:r w:rsidR="00A72654">
        <w:t>ktarı ise 2008-2013 döneminde %3</w:t>
      </w:r>
      <w:r w:rsidR="00B25A6F" w:rsidRPr="00BF159F">
        <w:t xml:space="preserve">4 oranında gerilerken, 2009-2013 döneminde düşüş oranı </w:t>
      </w:r>
      <w:r w:rsidR="003E040A">
        <w:t>artarak %53</w:t>
      </w:r>
      <w:r w:rsidR="00B25A6F" w:rsidRPr="00BF159F">
        <w:t xml:space="preserve"> </w:t>
      </w:r>
      <w:r w:rsidR="003E040A">
        <w:t>olmuştur</w:t>
      </w:r>
      <w:r w:rsidR="00B25A6F" w:rsidRPr="00BF159F">
        <w:t xml:space="preserve">. </w:t>
      </w:r>
    </w:p>
    <w:p w:rsidR="002B369D" w:rsidRDefault="002B369D" w:rsidP="00647061">
      <w:pPr>
        <w:ind w:firstLine="708"/>
        <w:jc w:val="both"/>
      </w:pPr>
    </w:p>
    <w:p w:rsidR="00647061" w:rsidRDefault="00051D6B" w:rsidP="00647061">
      <w:pPr>
        <w:ind w:firstLine="708"/>
        <w:jc w:val="both"/>
      </w:pPr>
      <w:r>
        <w:t>2006 ve 2007 yıllarındaki</w:t>
      </w:r>
      <w:r w:rsidR="008B4EA4" w:rsidRPr="00125018">
        <w:t xml:space="preserve"> ithalat verileri </w:t>
      </w:r>
      <w:r w:rsidR="007D0117">
        <w:t>değerlendirmeye katıldığında ise</w:t>
      </w:r>
      <w:r w:rsidR="005076E0">
        <w:t>, uzun dönemli ithalat artış oranında</w:t>
      </w:r>
      <w:r w:rsidR="008B4EA4" w:rsidRPr="00125018">
        <w:t xml:space="preserve"> düş</w:t>
      </w:r>
      <w:r w:rsidR="00776A00" w:rsidRPr="00125018">
        <w:t xml:space="preserve">üş olduğu </w:t>
      </w:r>
      <w:r w:rsidR="007D0117">
        <w:t>görülmekle birlikte</w:t>
      </w:r>
      <w:r w:rsidR="00776A00" w:rsidRPr="00125018">
        <w:t xml:space="preserve"> ithalatta</w:t>
      </w:r>
      <w:r w:rsidR="008B4EA4" w:rsidRPr="00125018">
        <w:t xml:space="preserve"> bazı ilgili </w:t>
      </w:r>
      <w:r w:rsidR="00F46F0A" w:rsidRPr="00125018">
        <w:t>tarafların</w:t>
      </w:r>
      <w:r w:rsidR="008B4EA4" w:rsidRPr="00125018">
        <w:t xml:space="preserve"> iddia </w:t>
      </w:r>
      <w:r w:rsidR="007D0117">
        <w:t xml:space="preserve">ettiği gibi bir düşüş </w:t>
      </w:r>
      <w:r w:rsidR="00C1729A">
        <w:t>yaşanmamakta</w:t>
      </w:r>
      <w:r w:rsidR="00647061">
        <w:t>dır.</w:t>
      </w:r>
    </w:p>
    <w:p w:rsidR="00F05C7E" w:rsidRPr="001643A4" w:rsidRDefault="00E66763" w:rsidP="008129B1">
      <w:pPr>
        <w:pStyle w:val="Balk4"/>
      </w:pPr>
      <w:r w:rsidRPr="001643A4">
        <w:t>İthalatta korunma önlemi alınmasını gerektirecek öngörülmeyen gelişmeler yoktur.</w:t>
      </w:r>
    </w:p>
    <w:p w:rsidR="00E84D00" w:rsidRDefault="00F46F0A" w:rsidP="00F05C7E">
      <w:pPr>
        <w:ind w:firstLine="708"/>
        <w:jc w:val="both"/>
      </w:pPr>
      <w:r w:rsidRPr="00EE6477">
        <w:t>Bu iddialar öngör</w:t>
      </w:r>
      <w:r w:rsidR="00A85C10">
        <w:t xml:space="preserve">ülmeyen gelişmelere ilişkin </w:t>
      </w:r>
      <w:r w:rsidR="00A83B7B">
        <w:t>3</w:t>
      </w:r>
      <w:r w:rsidR="00A85C10">
        <w:t>. b</w:t>
      </w:r>
      <w:r w:rsidRPr="00EE6477">
        <w:t>ölümde cevaplandırılmıştır.</w:t>
      </w:r>
    </w:p>
    <w:p w:rsidR="00F86AC4" w:rsidRPr="00AF4AF2" w:rsidRDefault="00F86AC4" w:rsidP="008129B1">
      <w:pPr>
        <w:pStyle w:val="Balk4"/>
      </w:pPr>
      <w:r>
        <w:t xml:space="preserve">İthalatta artış yoktur, yalnızca ABD ve Suudi Arabistan gibi ülkelerin yerini Portekiz ve Polonya gibi ülkeler almıştır. </w:t>
      </w:r>
      <w:r w:rsidRPr="00125018">
        <w:t xml:space="preserve"> </w:t>
      </w:r>
      <w:r>
        <w:t xml:space="preserve">   </w:t>
      </w:r>
    </w:p>
    <w:p w:rsidR="00F86AC4" w:rsidRDefault="00F86AC4" w:rsidP="00F86AC4">
      <w:pPr>
        <w:ind w:firstLine="708"/>
        <w:jc w:val="both"/>
      </w:pPr>
      <w:r>
        <w:t xml:space="preserve">Artan ithalatın Polonya ve Portekiz’de faaliyete geçen fabrikalardan kaynaklanmadığı; bu ülkelerin 2008 yılında ithalat yapılan ABD ve Suudi Arabistan’ın yerini almış olması nedeniyle ithalatın kompozisyonunun değiştiği belirtilmektedir. </w:t>
      </w:r>
    </w:p>
    <w:p w:rsidR="00F86AC4" w:rsidRDefault="00F86AC4" w:rsidP="00F86AC4">
      <w:pPr>
        <w:ind w:firstLine="708"/>
        <w:jc w:val="both"/>
      </w:pPr>
    </w:p>
    <w:p w:rsidR="00F86AC4" w:rsidRDefault="00F86AC4" w:rsidP="00F86AC4">
      <w:pPr>
        <w:ind w:firstLine="708"/>
        <w:jc w:val="both"/>
      </w:pPr>
      <w:r>
        <w:t xml:space="preserve">Söz konusu iddia eğer Polonya ve Portekiz’deki fabrikalar 2008 yılı veya öncesi veya hemen sonrası faaliyete geçmiş olsaydı ve akabinde bu ülkelerden ithalat yapılmış ve ABD ile Suudi Arabistan’dan 2008 yılından sonra ithalat kesilmiş olsaydı doğru olabilirdi. Ancak ABD ve Suudi Arabistan’dan yapılan ithalat 2008 yılından sonra yapılmamış; Polonya’dan yapılan ithalat 2011 yılında Portekiz’den </w:t>
      </w:r>
      <w:r w:rsidR="001A697E">
        <w:t xml:space="preserve">yapılan </w:t>
      </w:r>
      <w:r>
        <w:t>ithalat ise 2012 yılında başlamıştır.</w:t>
      </w:r>
      <w:r w:rsidR="002942B2">
        <w:t xml:space="preserve"> Diğer bir ifadeyle ABD ve Suudi Arabistan’dan ithalatın kesilmesi ve Portekiz ve Polonya’dan yapılan ithalatın başlaması arasında 3 ve 4 yıllık süreler bulunmaktadır.</w:t>
      </w:r>
    </w:p>
    <w:p w:rsidR="00F86AC4" w:rsidRPr="00125018" w:rsidRDefault="00F86AC4" w:rsidP="00F05C7E">
      <w:pPr>
        <w:ind w:firstLine="708"/>
        <w:jc w:val="both"/>
      </w:pPr>
    </w:p>
    <w:p w:rsidR="00E84D00" w:rsidRPr="007F7019" w:rsidRDefault="00E66763" w:rsidP="008129B1">
      <w:pPr>
        <w:pStyle w:val="Balk4"/>
      </w:pPr>
      <w:r w:rsidRPr="007F7019">
        <w:lastRenderedPageBreak/>
        <w:t xml:space="preserve">Petkim’in ihraç fiyatları 2008-2012 döneminde ülkemize yapılan ithalat birim fiyatlarının 30-90 ABD Doları/Ton altında yer almaktadır. Bu nedenle Petkim’in zarar ettiğinden söz etmek mümkün değildir. </w:t>
      </w:r>
    </w:p>
    <w:p w:rsidR="00132994" w:rsidRDefault="00A86179" w:rsidP="00BB50E2">
      <w:pPr>
        <w:ind w:firstLine="708"/>
        <w:jc w:val="both"/>
      </w:pPr>
      <w:r w:rsidRPr="00125018">
        <w:t xml:space="preserve"> </w:t>
      </w:r>
      <w:r w:rsidR="00BB50E2" w:rsidRPr="00EE6477">
        <w:t>İthal fiyatları uluslararası navlun ve sigorta masraflarını da içeren CIF kıymet üzerinden kaydedilirken ihracat fiyatları yalnızca eşya fiyatını ve limana taşıma masrafını kapsayan FOB kıymet ile kaydedildiğinden iki fiyat arasında bu şekilde bir fark ortaya çıkması doğaldır.</w:t>
      </w:r>
      <w:r w:rsidR="00BB50E2">
        <w:t xml:space="preserve"> </w:t>
      </w:r>
    </w:p>
    <w:p w:rsidR="00132994" w:rsidRDefault="00132994" w:rsidP="00BB50E2">
      <w:pPr>
        <w:ind w:firstLine="708"/>
        <w:jc w:val="both"/>
      </w:pPr>
    </w:p>
    <w:p w:rsidR="00E84D00" w:rsidRDefault="005240D6" w:rsidP="00BB50E2">
      <w:pPr>
        <w:ind w:firstLine="708"/>
        <w:jc w:val="both"/>
      </w:pPr>
      <w:r>
        <w:t xml:space="preserve">Aşağıdaki tabloda </w:t>
      </w:r>
      <w:r w:rsidR="00980267" w:rsidRPr="00125018">
        <w:t>Türkiye İstatistik Kurumu tarafından sağl</w:t>
      </w:r>
      <w:r w:rsidR="00980267">
        <w:t xml:space="preserve">anan dış ticaret istatistiklerinden alınan </w:t>
      </w:r>
      <w:r>
        <w:t xml:space="preserve">Petkim’in ihraç fiyatları ile Türkiye’ye yapılan ithalatın birim fiyatları karşılaştırılmaktadır. </w:t>
      </w:r>
      <w:r w:rsidR="00BD407E">
        <w:t xml:space="preserve">Petkim’in ihraç fiyatları FOB cinsinden olup, ithal fiyatları CIF cinsindendir. İki fiyat arasında daha doğru bir karşılaştırma yapılabilmesi amacıyla FOB fiyatın üzerine %5 oranında navlun ve sigorta masrafı eklenerek CIF ihraç fiyatı oluşturulmuştur. </w:t>
      </w:r>
      <w:r w:rsidR="00327AE6">
        <w:t>Tablonun Fark 1 satırından</w:t>
      </w:r>
      <w:r>
        <w:t xml:space="preserve"> da görülebileceği üzere Petkim’in </w:t>
      </w:r>
      <w:r w:rsidR="00327AE6">
        <w:t xml:space="preserve">FOB </w:t>
      </w:r>
      <w:r>
        <w:t xml:space="preserve">ihraç birim fiyatları 2009-2012 döneminde </w:t>
      </w:r>
      <w:r w:rsidR="00132994">
        <w:t xml:space="preserve">ilgili tarafların iddia ettiği gibi </w:t>
      </w:r>
      <w:r w:rsidR="00327AE6">
        <w:t xml:space="preserve">CIF </w:t>
      </w:r>
      <w:r>
        <w:t>ithal birim fiyatlarının altında yer alır</w:t>
      </w:r>
      <w:r w:rsidR="00132994">
        <w:t xml:space="preserve">ken, </w:t>
      </w:r>
      <w:r>
        <w:t xml:space="preserve">2013 yılında </w:t>
      </w:r>
      <w:r w:rsidR="00132994">
        <w:t xml:space="preserve">ithal fiyatların </w:t>
      </w:r>
      <w:r>
        <w:t>üzerinde yer almaktadır.</w:t>
      </w:r>
      <w:r w:rsidR="00327AE6">
        <w:t xml:space="preserve"> Fark 2 satırında ise 2008-2009 ve 2012-2013 döneminde Petkim’in CIF ihraç fiyatlarının CIF ithal fiyatlarının üzerinde yer aldığı görülmektedir.</w:t>
      </w:r>
    </w:p>
    <w:p w:rsidR="005240D6" w:rsidRDefault="005240D6" w:rsidP="00BB50E2">
      <w:pPr>
        <w:ind w:firstLine="708"/>
        <w:jc w:val="both"/>
      </w:pPr>
    </w:p>
    <w:tbl>
      <w:tblPr>
        <w:tblW w:w="5000" w:type="pct"/>
        <w:tblBorders>
          <w:top w:val="double" w:sz="4" w:space="0" w:color="auto"/>
          <w:left w:val="double" w:sz="4" w:space="0" w:color="auto"/>
          <w:bottom w:val="double" w:sz="4" w:space="0" w:color="auto"/>
          <w:right w:val="double" w:sz="4" w:space="0" w:color="auto"/>
        </w:tblBorders>
        <w:tblCellMar>
          <w:left w:w="70" w:type="dxa"/>
          <w:right w:w="70" w:type="dxa"/>
        </w:tblCellMar>
        <w:tblLook w:val="04A0" w:firstRow="1" w:lastRow="0" w:firstColumn="1" w:lastColumn="0" w:noHBand="0" w:noVBand="1"/>
      </w:tblPr>
      <w:tblGrid>
        <w:gridCol w:w="3269"/>
        <w:gridCol w:w="991"/>
        <w:gridCol w:w="991"/>
        <w:gridCol w:w="991"/>
        <w:gridCol w:w="991"/>
        <w:gridCol w:w="991"/>
        <w:gridCol w:w="988"/>
      </w:tblGrid>
      <w:tr w:rsidR="005240D6" w:rsidRPr="005240D6" w:rsidTr="00A83B7B">
        <w:trPr>
          <w:cantSplit/>
          <w:trHeight w:val="397"/>
        </w:trPr>
        <w:tc>
          <w:tcPr>
            <w:tcW w:w="1774" w:type="pct"/>
            <w:shd w:val="clear" w:color="auto" w:fill="auto"/>
            <w:noWrap/>
            <w:vAlign w:val="center"/>
            <w:hideMark/>
          </w:tcPr>
          <w:p w:rsidR="005240D6" w:rsidRPr="005240D6" w:rsidRDefault="005240D6" w:rsidP="00D97278">
            <w:pPr>
              <w:rPr>
                <w:color w:val="000000"/>
              </w:rPr>
            </w:pPr>
            <w:r w:rsidRPr="005240D6">
              <w:rPr>
                <w:bCs/>
                <w:color w:val="000000"/>
              </w:rPr>
              <w:t>Birim Fiyatlar</w:t>
            </w:r>
            <w:r w:rsidRPr="005240D6">
              <w:rPr>
                <w:color w:val="000000"/>
              </w:rPr>
              <w:t xml:space="preserve"> (ABD Doları/Kg)</w:t>
            </w:r>
          </w:p>
        </w:tc>
        <w:tc>
          <w:tcPr>
            <w:tcW w:w="538" w:type="pct"/>
            <w:shd w:val="clear" w:color="auto" w:fill="auto"/>
            <w:noWrap/>
            <w:vAlign w:val="center"/>
            <w:hideMark/>
          </w:tcPr>
          <w:p w:rsidR="005240D6" w:rsidRPr="005240D6" w:rsidRDefault="005240D6" w:rsidP="005240D6">
            <w:pPr>
              <w:jc w:val="center"/>
              <w:rPr>
                <w:bCs/>
                <w:color w:val="000000"/>
              </w:rPr>
            </w:pPr>
            <w:r w:rsidRPr="005240D6">
              <w:rPr>
                <w:bCs/>
                <w:color w:val="000000"/>
              </w:rPr>
              <w:t>2008</w:t>
            </w:r>
          </w:p>
        </w:tc>
        <w:tc>
          <w:tcPr>
            <w:tcW w:w="538" w:type="pct"/>
            <w:shd w:val="clear" w:color="auto" w:fill="auto"/>
            <w:noWrap/>
            <w:vAlign w:val="center"/>
            <w:hideMark/>
          </w:tcPr>
          <w:p w:rsidR="005240D6" w:rsidRPr="005240D6" w:rsidRDefault="005240D6" w:rsidP="005240D6">
            <w:pPr>
              <w:jc w:val="center"/>
              <w:rPr>
                <w:bCs/>
                <w:color w:val="000000"/>
              </w:rPr>
            </w:pPr>
            <w:r w:rsidRPr="005240D6">
              <w:rPr>
                <w:bCs/>
                <w:color w:val="000000"/>
              </w:rPr>
              <w:t>2009</w:t>
            </w:r>
          </w:p>
        </w:tc>
        <w:tc>
          <w:tcPr>
            <w:tcW w:w="538" w:type="pct"/>
            <w:shd w:val="clear" w:color="auto" w:fill="auto"/>
            <w:noWrap/>
            <w:vAlign w:val="center"/>
            <w:hideMark/>
          </w:tcPr>
          <w:p w:rsidR="005240D6" w:rsidRPr="005240D6" w:rsidRDefault="005240D6" w:rsidP="005240D6">
            <w:pPr>
              <w:jc w:val="center"/>
              <w:rPr>
                <w:bCs/>
                <w:color w:val="000000"/>
              </w:rPr>
            </w:pPr>
            <w:r w:rsidRPr="005240D6">
              <w:rPr>
                <w:bCs/>
                <w:color w:val="000000"/>
              </w:rPr>
              <w:t>2010</w:t>
            </w:r>
          </w:p>
        </w:tc>
        <w:tc>
          <w:tcPr>
            <w:tcW w:w="538" w:type="pct"/>
            <w:shd w:val="clear" w:color="auto" w:fill="auto"/>
            <w:noWrap/>
            <w:vAlign w:val="center"/>
            <w:hideMark/>
          </w:tcPr>
          <w:p w:rsidR="005240D6" w:rsidRPr="005240D6" w:rsidRDefault="005240D6" w:rsidP="005240D6">
            <w:pPr>
              <w:jc w:val="center"/>
              <w:rPr>
                <w:bCs/>
                <w:color w:val="000000"/>
              </w:rPr>
            </w:pPr>
            <w:r w:rsidRPr="005240D6">
              <w:rPr>
                <w:bCs/>
                <w:color w:val="000000"/>
              </w:rPr>
              <w:t>2011</w:t>
            </w:r>
          </w:p>
        </w:tc>
        <w:tc>
          <w:tcPr>
            <w:tcW w:w="538" w:type="pct"/>
            <w:shd w:val="clear" w:color="auto" w:fill="auto"/>
            <w:noWrap/>
            <w:vAlign w:val="center"/>
            <w:hideMark/>
          </w:tcPr>
          <w:p w:rsidR="005240D6" w:rsidRPr="005240D6" w:rsidRDefault="005240D6" w:rsidP="005240D6">
            <w:pPr>
              <w:jc w:val="center"/>
              <w:rPr>
                <w:bCs/>
                <w:color w:val="000000"/>
              </w:rPr>
            </w:pPr>
            <w:r w:rsidRPr="005240D6">
              <w:rPr>
                <w:bCs/>
                <w:color w:val="000000"/>
              </w:rPr>
              <w:t>2012</w:t>
            </w:r>
          </w:p>
        </w:tc>
        <w:tc>
          <w:tcPr>
            <w:tcW w:w="536" w:type="pct"/>
            <w:shd w:val="clear" w:color="auto" w:fill="auto"/>
            <w:noWrap/>
            <w:vAlign w:val="center"/>
            <w:hideMark/>
          </w:tcPr>
          <w:p w:rsidR="005240D6" w:rsidRPr="005240D6" w:rsidRDefault="005240D6" w:rsidP="005240D6">
            <w:pPr>
              <w:jc w:val="center"/>
              <w:rPr>
                <w:bCs/>
                <w:color w:val="000000"/>
              </w:rPr>
            </w:pPr>
            <w:r w:rsidRPr="005240D6">
              <w:rPr>
                <w:bCs/>
                <w:color w:val="000000"/>
              </w:rPr>
              <w:t>2013</w:t>
            </w:r>
          </w:p>
        </w:tc>
      </w:tr>
      <w:tr w:rsidR="005240D6" w:rsidRPr="005240D6" w:rsidTr="00A83B7B">
        <w:trPr>
          <w:cantSplit/>
          <w:trHeight w:val="397"/>
        </w:trPr>
        <w:tc>
          <w:tcPr>
            <w:tcW w:w="1774" w:type="pct"/>
            <w:shd w:val="clear" w:color="auto" w:fill="auto"/>
            <w:noWrap/>
            <w:vAlign w:val="center"/>
            <w:hideMark/>
          </w:tcPr>
          <w:p w:rsidR="005240D6" w:rsidRPr="005240D6" w:rsidRDefault="005240D6" w:rsidP="00D97278">
            <w:pPr>
              <w:rPr>
                <w:bCs/>
                <w:color w:val="000000"/>
              </w:rPr>
            </w:pPr>
            <w:r w:rsidRPr="005240D6">
              <w:rPr>
                <w:bCs/>
                <w:color w:val="000000"/>
              </w:rPr>
              <w:t>Petkim İhracat</w:t>
            </w:r>
            <w:r w:rsidR="00980267">
              <w:rPr>
                <w:bCs/>
                <w:color w:val="000000"/>
              </w:rPr>
              <w:t xml:space="preserve"> (FOB)</w:t>
            </w:r>
            <w:r w:rsidRPr="005240D6">
              <w:rPr>
                <w:bCs/>
                <w:color w:val="000000"/>
              </w:rPr>
              <w:t xml:space="preserve"> </w:t>
            </w:r>
          </w:p>
        </w:tc>
        <w:tc>
          <w:tcPr>
            <w:tcW w:w="538" w:type="pct"/>
            <w:shd w:val="clear" w:color="auto" w:fill="auto"/>
            <w:noWrap/>
            <w:vAlign w:val="center"/>
            <w:hideMark/>
          </w:tcPr>
          <w:p w:rsidR="005240D6" w:rsidRPr="005240D6" w:rsidRDefault="005240D6" w:rsidP="00BD407E">
            <w:pPr>
              <w:jc w:val="center"/>
              <w:rPr>
                <w:color w:val="000000"/>
              </w:rPr>
            </w:pPr>
            <w:r w:rsidRPr="005240D6">
              <w:rPr>
                <w:color w:val="000000"/>
              </w:rPr>
              <w:t>1,078</w:t>
            </w:r>
          </w:p>
        </w:tc>
        <w:tc>
          <w:tcPr>
            <w:tcW w:w="538" w:type="pct"/>
            <w:shd w:val="clear" w:color="auto" w:fill="auto"/>
            <w:noWrap/>
            <w:vAlign w:val="center"/>
            <w:hideMark/>
          </w:tcPr>
          <w:p w:rsidR="005240D6" w:rsidRPr="005240D6" w:rsidRDefault="005240D6" w:rsidP="00BD407E">
            <w:pPr>
              <w:jc w:val="center"/>
              <w:rPr>
                <w:color w:val="000000"/>
              </w:rPr>
            </w:pPr>
            <w:r w:rsidRPr="005240D6">
              <w:rPr>
                <w:color w:val="000000"/>
              </w:rPr>
              <w:t>0,828</w:t>
            </w:r>
          </w:p>
        </w:tc>
        <w:tc>
          <w:tcPr>
            <w:tcW w:w="538" w:type="pct"/>
            <w:shd w:val="clear" w:color="auto" w:fill="auto"/>
            <w:noWrap/>
            <w:vAlign w:val="center"/>
            <w:hideMark/>
          </w:tcPr>
          <w:p w:rsidR="005240D6" w:rsidRPr="005240D6" w:rsidRDefault="005240D6" w:rsidP="00BD407E">
            <w:pPr>
              <w:jc w:val="center"/>
              <w:rPr>
                <w:color w:val="000000"/>
              </w:rPr>
            </w:pPr>
            <w:r w:rsidRPr="005240D6">
              <w:rPr>
                <w:color w:val="000000"/>
              </w:rPr>
              <w:t>0,907</w:t>
            </w:r>
          </w:p>
        </w:tc>
        <w:tc>
          <w:tcPr>
            <w:tcW w:w="538" w:type="pct"/>
            <w:shd w:val="clear" w:color="auto" w:fill="auto"/>
            <w:noWrap/>
            <w:vAlign w:val="center"/>
            <w:hideMark/>
          </w:tcPr>
          <w:p w:rsidR="005240D6" w:rsidRPr="005240D6" w:rsidRDefault="005240D6" w:rsidP="00BD407E">
            <w:pPr>
              <w:jc w:val="center"/>
              <w:rPr>
                <w:color w:val="000000"/>
              </w:rPr>
            </w:pPr>
            <w:r w:rsidRPr="005240D6">
              <w:rPr>
                <w:color w:val="000000"/>
              </w:rPr>
              <w:t>1,293</w:t>
            </w:r>
          </w:p>
        </w:tc>
        <w:tc>
          <w:tcPr>
            <w:tcW w:w="538" w:type="pct"/>
            <w:shd w:val="clear" w:color="auto" w:fill="auto"/>
            <w:noWrap/>
            <w:vAlign w:val="center"/>
            <w:hideMark/>
          </w:tcPr>
          <w:p w:rsidR="005240D6" w:rsidRPr="005240D6" w:rsidRDefault="005240D6" w:rsidP="00BD407E">
            <w:pPr>
              <w:jc w:val="center"/>
              <w:rPr>
                <w:color w:val="000000"/>
              </w:rPr>
            </w:pPr>
            <w:r w:rsidRPr="005240D6">
              <w:rPr>
                <w:color w:val="000000"/>
              </w:rPr>
              <w:t>1,150</w:t>
            </w:r>
          </w:p>
        </w:tc>
        <w:tc>
          <w:tcPr>
            <w:tcW w:w="536" w:type="pct"/>
            <w:shd w:val="clear" w:color="auto" w:fill="auto"/>
            <w:noWrap/>
            <w:vAlign w:val="center"/>
            <w:hideMark/>
          </w:tcPr>
          <w:p w:rsidR="005240D6" w:rsidRPr="005240D6" w:rsidRDefault="005240D6" w:rsidP="00BD407E">
            <w:pPr>
              <w:jc w:val="center"/>
              <w:rPr>
                <w:color w:val="000000"/>
              </w:rPr>
            </w:pPr>
            <w:r w:rsidRPr="005240D6">
              <w:rPr>
                <w:color w:val="000000"/>
              </w:rPr>
              <w:t>1,231</w:t>
            </w:r>
          </w:p>
        </w:tc>
      </w:tr>
      <w:tr w:rsidR="00BD407E" w:rsidRPr="005240D6" w:rsidTr="00A83B7B">
        <w:trPr>
          <w:cantSplit/>
          <w:trHeight w:val="397"/>
        </w:trPr>
        <w:tc>
          <w:tcPr>
            <w:tcW w:w="1774" w:type="pct"/>
            <w:shd w:val="clear" w:color="auto" w:fill="auto"/>
            <w:noWrap/>
            <w:vAlign w:val="center"/>
          </w:tcPr>
          <w:p w:rsidR="00BD407E" w:rsidRPr="005240D6" w:rsidRDefault="00BD407E" w:rsidP="00BD407E">
            <w:pPr>
              <w:rPr>
                <w:bCs/>
                <w:color w:val="000000"/>
              </w:rPr>
            </w:pPr>
            <w:r w:rsidRPr="005240D6">
              <w:rPr>
                <w:bCs/>
                <w:color w:val="000000"/>
              </w:rPr>
              <w:t>Petkim İhracat</w:t>
            </w:r>
            <w:r>
              <w:rPr>
                <w:bCs/>
                <w:color w:val="000000"/>
              </w:rPr>
              <w:t xml:space="preserve"> (CIF)</w:t>
            </w:r>
          </w:p>
        </w:tc>
        <w:tc>
          <w:tcPr>
            <w:tcW w:w="538" w:type="pct"/>
            <w:shd w:val="clear" w:color="auto" w:fill="auto"/>
            <w:noWrap/>
            <w:vAlign w:val="center"/>
          </w:tcPr>
          <w:p w:rsidR="00BD407E" w:rsidRPr="00BD407E" w:rsidRDefault="00BD407E" w:rsidP="00BD407E">
            <w:pPr>
              <w:jc w:val="center"/>
              <w:rPr>
                <w:color w:val="000000"/>
              </w:rPr>
            </w:pPr>
            <w:r w:rsidRPr="00BD407E">
              <w:rPr>
                <w:color w:val="000000"/>
              </w:rPr>
              <w:t>1,132</w:t>
            </w:r>
          </w:p>
        </w:tc>
        <w:tc>
          <w:tcPr>
            <w:tcW w:w="538" w:type="pct"/>
            <w:shd w:val="clear" w:color="auto" w:fill="auto"/>
            <w:noWrap/>
            <w:vAlign w:val="center"/>
          </w:tcPr>
          <w:p w:rsidR="00BD407E" w:rsidRPr="00BD407E" w:rsidRDefault="00BD407E" w:rsidP="00BD407E">
            <w:pPr>
              <w:jc w:val="center"/>
              <w:rPr>
                <w:color w:val="000000"/>
              </w:rPr>
            </w:pPr>
            <w:r w:rsidRPr="00BD407E">
              <w:rPr>
                <w:color w:val="000000"/>
              </w:rPr>
              <w:t>0,869</w:t>
            </w:r>
          </w:p>
        </w:tc>
        <w:tc>
          <w:tcPr>
            <w:tcW w:w="538" w:type="pct"/>
            <w:shd w:val="clear" w:color="auto" w:fill="auto"/>
            <w:noWrap/>
            <w:vAlign w:val="center"/>
          </w:tcPr>
          <w:p w:rsidR="00BD407E" w:rsidRPr="00BD407E" w:rsidRDefault="00BD407E" w:rsidP="00BD407E">
            <w:pPr>
              <w:jc w:val="center"/>
              <w:rPr>
                <w:color w:val="000000"/>
              </w:rPr>
            </w:pPr>
            <w:r w:rsidRPr="00BD407E">
              <w:rPr>
                <w:color w:val="000000"/>
              </w:rPr>
              <w:t>0,952</w:t>
            </w:r>
          </w:p>
        </w:tc>
        <w:tc>
          <w:tcPr>
            <w:tcW w:w="538" w:type="pct"/>
            <w:shd w:val="clear" w:color="auto" w:fill="auto"/>
            <w:noWrap/>
            <w:vAlign w:val="center"/>
          </w:tcPr>
          <w:p w:rsidR="00BD407E" w:rsidRPr="00BD407E" w:rsidRDefault="00BD407E" w:rsidP="00BD407E">
            <w:pPr>
              <w:jc w:val="center"/>
              <w:rPr>
                <w:color w:val="000000"/>
              </w:rPr>
            </w:pPr>
            <w:r w:rsidRPr="00BD407E">
              <w:rPr>
                <w:color w:val="000000"/>
              </w:rPr>
              <w:t>1,357</w:t>
            </w:r>
          </w:p>
        </w:tc>
        <w:tc>
          <w:tcPr>
            <w:tcW w:w="538" w:type="pct"/>
            <w:shd w:val="clear" w:color="auto" w:fill="auto"/>
            <w:noWrap/>
            <w:vAlign w:val="center"/>
          </w:tcPr>
          <w:p w:rsidR="00BD407E" w:rsidRPr="00BD407E" w:rsidRDefault="00BD407E" w:rsidP="00BD407E">
            <w:pPr>
              <w:jc w:val="center"/>
              <w:rPr>
                <w:color w:val="000000"/>
              </w:rPr>
            </w:pPr>
            <w:r w:rsidRPr="00BD407E">
              <w:rPr>
                <w:color w:val="000000"/>
              </w:rPr>
              <w:t>1,208</w:t>
            </w:r>
          </w:p>
        </w:tc>
        <w:tc>
          <w:tcPr>
            <w:tcW w:w="536" w:type="pct"/>
            <w:shd w:val="clear" w:color="auto" w:fill="auto"/>
            <w:noWrap/>
            <w:vAlign w:val="center"/>
          </w:tcPr>
          <w:p w:rsidR="00BD407E" w:rsidRPr="00BD407E" w:rsidRDefault="00BD407E" w:rsidP="00BD407E">
            <w:pPr>
              <w:jc w:val="center"/>
              <w:rPr>
                <w:color w:val="000000"/>
              </w:rPr>
            </w:pPr>
            <w:r w:rsidRPr="00BD407E">
              <w:rPr>
                <w:color w:val="000000"/>
              </w:rPr>
              <w:t>1,292</w:t>
            </w:r>
          </w:p>
        </w:tc>
      </w:tr>
      <w:tr w:rsidR="005240D6" w:rsidRPr="005240D6" w:rsidTr="00A83B7B">
        <w:trPr>
          <w:cantSplit/>
          <w:trHeight w:val="397"/>
        </w:trPr>
        <w:tc>
          <w:tcPr>
            <w:tcW w:w="1774" w:type="pct"/>
            <w:shd w:val="clear" w:color="auto" w:fill="auto"/>
            <w:noWrap/>
            <w:vAlign w:val="center"/>
            <w:hideMark/>
          </w:tcPr>
          <w:p w:rsidR="005240D6" w:rsidRPr="005240D6" w:rsidRDefault="005240D6" w:rsidP="00D97278">
            <w:pPr>
              <w:rPr>
                <w:bCs/>
                <w:color w:val="000000"/>
              </w:rPr>
            </w:pPr>
            <w:r w:rsidRPr="005240D6">
              <w:rPr>
                <w:bCs/>
                <w:color w:val="000000"/>
              </w:rPr>
              <w:t xml:space="preserve">İthalat </w:t>
            </w:r>
            <w:r w:rsidR="00980267">
              <w:rPr>
                <w:bCs/>
                <w:color w:val="000000"/>
              </w:rPr>
              <w:t>(CIF)</w:t>
            </w:r>
          </w:p>
        </w:tc>
        <w:tc>
          <w:tcPr>
            <w:tcW w:w="538" w:type="pct"/>
            <w:shd w:val="clear" w:color="auto" w:fill="auto"/>
            <w:noWrap/>
            <w:vAlign w:val="center"/>
            <w:hideMark/>
          </w:tcPr>
          <w:p w:rsidR="005240D6" w:rsidRPr="005240D6" w:rsidRDefault="005240D6" w:rsidP="00BD407E">
            <w:pPr>
              <w:jc w:val="center"/>
              <w:rPr>
                <w:color w:val="000000"/>
              </w:rPr>
            </w:pPr>
            <w:r w:rsidRPr="005240D6">
              <w:rPr>
                <w:color w:val="000000"/>
              </w:rPr>
              <w:t>1,073</w:t>
            </w:r>
          </w:p>
        </w:tc>
        <w:tc>
          <w:tcPr>
            <w:tcW w:w="538" w:type="pct"/>
            <w:shd w:val="clear" w:color="auto" w:fill="auto"/>
            <w:noWrap/>
            <w:vAlign w:val="center"/>
            <w:hideMark/>
          </w:tcPr>
          <w:p w:rsidR="005240D6" w:rsidRPr="005240D6" w:rsidRDefault="005240D6" w:rsidP="00BD407E">
            <w:pPr>
              <w:jc w:val="center"/>
              <w:rPr>
                <w:color w:val="000000"/>
              </w:rPr>
            </w:pPr>
            <w:r w:rsidRPr="005240D6">
              <w:rPr>
                <w:color w:val="000000"/>
              </w:rPr>
              <w:t>0,851</w:t>
            </w:r>
          </w:p>
        </w:tc>
        <w:tc>
          <w:tcPr>
            <w:tcW w:w="538" w:type="pct"/>
            <w:shd w:val="clear" w:color="auto" w:fill="auto"/>
            <w:noWrap/>
            <w:vAlign w:val="center"/>
            <w:hideMark/>
          </w:tcPr>
          <w:p w:rsidR="005240D6" w:rsidRPr="005240D6" w:rsidRDefault="005240D6" w:rsidP="00BD407E">
            <w:pPr>
              <w:jc w:val="center"/>
              <w:rPr>
                <w:color w:val="000000"/>
              </w:rPr>
            </w:pPr>
            <w:r w:rsidRPr="005240D6">
              <w:rPr>
                <w:color w:val="000000"/>
              </w:rPr>
              <w:t>0,983</w:t>
            </w:r>
          </w:p>
        </w:tc>
        <w:tc>
          <w:tcPr>
            <w:tcW w:w="538" w:type="pct"/>
            <w:shd w:val="clear" w:color="auto" w:fill="auto"/>
            <w:noWrap/>
            <w:vAlign w:val="center"/>
            <w:hideMark/>
          </w:tcPr>
          <w:p w:rsidR="005240D6" w:rsidRPr="005240D6" w:rsidRDefault="005240D6" w:rsidP="00BD407E">
            <w:pPr>
              <w:jc w:val="center"/>
              <w:rPr>
                <w:color w:val="000000"/>
              </w:rPr>
            </w:pPr>
            <w:r w:rsidRPr="005240D6">
              <w:rPr>
                <w:color w:val="000000"/>
              </w:rPr>
              <w:t>1,368</w:t>
            </w:r>
          </w:p>
        </w:tc>
        <w:tc>
          <w:tcPr>
            <w:tcW w:w="538" w:type="pct"/>
            <w:shd w:val="clear" w:color="auto" w:fill="auto"/>
            <w:noWrap/>
            <w:vAlign w:val="center"/>
            <w:hideMark/>
          </w:tcPr>
          <w:p w:rsidR="005240D6" w:rsidRPr="005240D6" w:rsidRDefault="005240D6" w:rsidP="00BD407E">
            <w:pPr>
              <w:jc w:val="center"/>
              <w:rPr>
                <w:color w:val="000000"/>
              </w:rPr>
            </w:pPr>
            <w:r w:rsidRPr="005240D6">
              <w:rPr>
                <w:color w:val="000000"/>
              </w:rPr>
              <w:t>1,198</w:t>
            </w:r>
          </w:p>
        </w:tc>
        <w:tc>
          <w:tcPr>
            <w:tcW w:w="536" w:type="pct"/>
            <w:shd w:val="clear" w:color="auto" w:fill="auto"/>
            <w:noWrap/>
            <w:vAlign w:val="center"/>
            <w:hideMark/>
          </w:tcPr>
          <w:p w:rsidR="005240D6" w:rsidRPr="005240D6" w:rsidRDefault="005240D6" w:rsidP="00BD407E">
            <w:pPr>
              <w:jc w:val="center"/>
              <w:rPr>
                <w:color w:val="000000"/>
              </w:rPr>
            </w:pPr>
            <w:r w:rsidRPr="005240D6">
              <w:rPr>
                <w:color w:val="000000"/>
              </w:rPr>
              <w:t>1,166</w:t>
            </w:r>
          </w:p>
        </w:tc>
      </w:tr>
      <w:tr w:rsidR="005240D6" w:rsidRPr="005240D6" w:rsidTr="00A83B7B">
        <w:trPr>
          <w:cantSplit/>
          <w:trHeight w:val="397"/>
        </w:trPr>
        <w:tc>
          <w:tcPr>
            <w:tcW w:w="1774" w:type="pct"/>
            <w:shd w:val="clear" w:color="auto" w:fill="auto"/>
            <w:noWrap/>
            <w:vAlign w:val="center"/>
            <w:hideMark/>
          </w:tcPr>
          <w:p w:rsidR="005240D6" w:rsidRPr="005240D6" w:rsidRDefault="005240D6" w:rsidP="00D97278">
            <w:pPr>
              <w:rPr>
                <w:color w:val="000000"/>
              </w:rPr>
            </w:pPr>
            <w:r w:rsidRPr="005240D6">
              <w:rPr>
                <w:color w:val="000000"/>
              </w:rPr>
              <w:t>Fark</w:t>
            </w:r>
            <w:r w:rsidR="00BD407E">
              <w:rPr>
                <w:color w:val="000000"/>
              </w:rPr>
              <w:t xml:space="preserve"> 1</w:t>
            </w:r>
          </w:p>
        </w:tc>
        <w:tc>
          <w:tcPr>
            <w:tcW w:w="538" w:type="pct"/>
            <w:shd w:val="clear" w:color="auto" w:fill="auto"/>
            <w:noWrap/>
            <w:vAlign w:val="center"/>
            <w:hideMark/>
          </w:tcPr>
          <w:p w:rsidR="005240D6" w:rsidRPr="005240D6" w:rsidRDefault="005240D6" w:rsidP="00BD407E">
            <w:pPr>
              <w:jc w:val="center"/>
              <w:rPr>
                <w:color w:val="000000"/>
              </w:rPr>
            </w:pPr>
            <w:r w:rsidRPr="005240D6">
              <w:rPr>
                <w:color w:val="000000"/>
              </w:rPr>
              <w:t>0,005</w:t>
            </w:r>
          </w:p>
        </w:tc>
        <w:tc>
          <w:tcPr>
            <w:tcW w:w="538" w:type="pct"/>
            <w:shd w:val="clear" w:color="auto" w:fill="auto"/>
            <w:noWrap/>
            <w:vAlign w:val="center"/>
            <w:hideMark/>
          </w:tcPr>
          <w:p w:rsidR="005240D6" w:rsidRPr="005240D6" w:rsidRDefault="005240D6" w:rsidP="00BD407E">
            <w:pPr>
              <w:jc w:val="center"/>
              <w:rPr>
                <w:color w:val="000000"/>
              </w:rPr>
            </w:pPr>
            <w:r w:rsidRPr="005240D6">
              <w:rPr>
                <w:color w:val="000000"/>
              </w:rPr>
              <w:t>-0,023</w:t>
            </w:r>
          </w:p>
        </w:tc>
        <w:tc>
          <w:tcPr>
            <w:tcW w:w="538" w:type="pct"/>
            <w:shd w:val="clear" w:color="auto" w:fill="auto"/>
            <w:noWrap/>
            <w:vAlign w:val="center"/>
            <w:hideMark/>
          </w:tcPr>
          <w:p w:rsidR="005240D6" w:rsidRPr="005240D6" w:rsidRDefault="005240D6" w:rsidP="00BD407E">
            <w:pPr>
              <w:jc w:val="center"/>
              <w:rPr>
                <w:color w:val="000000"/>
              </w:rPr>
            </w:pPr>
            <w:r w:rsidRPr="005240D6">
              <w:rPr>
                <w:color w:val="000000"/>
              </w:rPr>
              <w:t>-0,077</w:t>
            </w:r>
          </w:p>
        </w:tc>
        <w:tc>
          <w:tcPr>
            <w:tcW w:w="538" w:type="pct"/>
            <w:shd w:val="clear" w:color="auto" w:fill="auto"/>
            <w:noWrap/>
            <w:vAlign w:val="center"/>
            <w:hideMark/>
          </w:tcPr>
          <w:p w:rsidR="005240D6" w:rsidRPr="005240D6" w:rsidRDefault="005240D6" w:rsidP="00BD407E">
            <w:pPr>
              <w:jc w:val="center"/>
              <w:rPr>
                <w:color w:val="000000"/>
              </w:rPr>
            </w:pPr>
            <w:r w:rsidRPr="005240D6">
              <w:rPr>
                <w:color w:val="000000"/>
              </w:rPr>
              <w:t>-0,075</w:t>
            </w:r>
          </w:p>
        </w:tc>
        <w:tc>
          <w:tcPr>
            <w:tcW w:w="538" w:type="pct"/>
            <w:shd w:val="clear" w:color="auto" w:fill="auto"/>
            <w:noWrap/>
            <w:vAlign w:val="center"/>
            <w:hideMark/>
          </w:tcPr>
          <w:p w:rsidR="005240D6" w:rsidRPr="005240D6" w:rsidRDefault="005240D6" w:rsidP="00BD407E">
            <w:pPr>
              <w:jc w:val="center"/>
              <w:rPr>
                <w:color w:val="000000"/>
              </w:rPr>
            </w:pPr>
            <w:r w:rsidRPr="005240D6">
              <w:rPr>
                <w:color w:val="000000"/>
              </w:rPr>
              <w:t>-0,047</w:t>
            </w:r>
          </w:p>
        </w:tc>
        <w:tc>
          <w:tcPr>
            <w:tcW w:w="536" w:type="pct"/>
            <w:shd w:val="clear" w:color="auto" w:fill="auto"/>
            <w:noWrap/>
            <w:vAlign w:val="center"/>
            <w:hideMark/>
          </w:tcPr>
          <w:p w:rsidR="005240D6" w:rsidRPr="005240D6" w:rsidRDefault="005240D6" w:rsidP="00BD407E">
            <w:pPr>
              <w:jc w:val="center"/>
              <w:rPr>
                <w:color w:val="000000"/>
              </w:rPr>
            </w:pPr>
            <w:r w:rsidRPr="005240D6">
              <w:rPr>
                <w:color w:val="000000"/>
              </w:rPr>
              <w:t>0,065</w:t>
            </w:r>
          </w:p>
        </w:tc>
      </w:tr>
      <w:tr w:rsidR="00BD407E" w:rsidRPr="005240D6" w:rsidTr="00A83B7B">
        <w:trPr>
          <w:cantSplit/>
          <w:trHeight w:val="397"/>
        </w:trPr>
        <w:tc>
          <w:tcPr>
            <w:tcW w:w="1774" w:type="pct"/>
            <w:shd w:val="clear" w:color="auto" w:fill="auto"/>
            <w:noWrap/>
            <w:vAlign w:val="center"/>
          </w:tcPr>
          <w:p w:rsidR="00BD407E" w:rsidRPr="005240D6" w:rsidRDefault="00BD407E" w:rsidP="00D97278">
            <w:pPr>
              <w:rPr>
                <w:color w:val="000000"/>
              </w:rPr>
            </w:pPr>
            <w:r>
              <w:rPr>
                <w:color w:val="000000"/>
              </w:rPr>
              <w:t>Fark 2</w:t>
            </w:r>
          </w:p>
        </w:tc>
        <w:tc>
          <w:tcPr>
            <w:tcW w:w="538" w:type="pct"/>
            <w:shd w:val="clear" w:color="auto" w:fill="auto"/>
            <w:noWrap/>
            <w:vAlign w:val="center"/>
          </w:tcPr>
          <w:p w:rsidR="00BD407E" w:rsidRPr="00BD407E" w:rsidRDefault="00BD407E" w:rsidP="00BD407E">
            <w:pPr>
              <w:jc w:val="center"/>
              <w:rPr>
                <w:color w:val="000000"/>
              </w:rPr>
            </w:pPr>
            <w:r w:rsidRPr="00BD407E">
              <w:rPr>
                <w:color w:val="000000"/>
              </w:rPr>
              <w:t>0,059</w:t>
            </w:r>
          </w:p>
        </w:tc>
        <w:tc>
          <w:tcPr>
            <w:tcW w:w="538" w:type="pct"/>
            <w:shd w:val="clear" w:color="auto" w:fill="auto"/>
            <w:noWrap/>
            <w:vAlign w:val="center"/>
          </w:tcPr>
          <w:p w:rsidR="00BD407E" w:rsidRPr="00BD407E" w:rsidRDefault="00BD407E" w:rsidP="00BD407E">
            <w:pPr>
              <w:jc w:val="center"/>
              <w:rPr>
                <w:color w:val="000000"/>
              </w:rPr>
            </w:pPr>
            <w:r w:rsidRPr="00BD407E">
              <w:rPr>
                <w:color w:val="000000"/>
              </w:rPr>
              <w:t>0,018</w:t>
            </w:r>
          </w:p>
        </w:tc>
        <w:tc>
          <w:tcPr>
            <w:tcW w:w="538" w:type="pct"/>
            <w:shd w:val="clear" w:color="auto" w:fill="auto"/>
            <w:noWrap/>
            <w:vAlign w:val="center"/>
          </w:tcPr>
          <w:p w:rsidR="00BD407E" w:rsidRPr="00BD407E" w:rsidRDefault="00BD407E" w:rsidP="00BD407E">
            <w:pPr>
              <w:jc w:val="center"/>
              <w:rPr>
                <w:color w:val="000000"/>
              </w:rPr>
            </w:pPr>
            <w:r w:rsidRPr="00BD407E">
              <w:rPr>
                <w:color w:val="000000"/>
              </w:rPr>
              <w:t>-0,031</w:t>
            </w:r>
          </w:p>
        </w:tc>
        <w:tc>
          <w:tcPr>
            <w:tcW w:w="538" w:type="pct"/>
            <w:shd w:val="clear" w:color="auto" w:fill="auto"/>
            <w:noWrap/>
            <w:vAlign w:val="center"/>
          </w:tcPr>
          <w:p w:rsidR="00BD407E" w:rsidRPr="00BD407E" w:rsidRDefault="00BD407E" w:rsidP="00BD407E">
            <w:pPr>
              <w:jc w:val="center"/>
              <w:rPr>
                <w:color w:val="000000"/>
              </w:rPr>
            </w:pPr>
            <w:r w:rsidRPr="00BD407E">
              <w:rPr>
                <w:color w:val="000000"/>
              </w:rPr>
              <w:t>-0,010</w:t>
            </w:r>
          </w:p>
        </w:tc>
        <w:tc>
          <w:tcPr>
            <w:tcW w:w="538" w:type="pct"/>
            <w:shd w:val="clear" w:color="auto" w:fill="auto"/>
            <w:noWrap/>
            <w:vAlign w:val="center"/>
          </w:tcPr>
          <w:p w:rsidR="00BD407E" w:rsidRPr="00BD407E" w:rsidRDefault="00BD407E" w:rsidP="00BD407E">
            <w:pPr>
              <w:jc w:val="center"/>
              <w:rPr>
                <w:color w:val="000000"/>
              </w:rPr>
            </w:pPr>
            <w:r w:rsidRPr="00BD407E">
              <w:rPr>
                <w:color w:val="000000"/>
              </w:rPr>
              <w:t>0,010</w:t>
            </w:r>
          </w:p>
        </w:tc>
        <w:tc>
          <w:tcPr>
            <w:tcW w:w="536" w:type="pct"/>
            <w:shd w:val="clear" w:color="auto" w:fill="auto"/>
            <w:noWrap/>
            <w:vAlign w:val="center"/>
          </w:tcPr>
          <w:p w:rsidR="00BD407E" w:rsidRPr="00BD407E" w:rsidRDefault="00BD407E" w:rsidP="00BD407E">
            <w:pPr>
              <w:jc w:val="center"/>
              <w:rPr>
                <w:color w:val="000000"/>
              </w:rPr>
            </w:pPr>
            <w:r w:rsidRPr="00BD407E">
              <w:rPr>
                <w:color w:val="000000"/>
              </w:rPr>
              <w:t>0,127</w:t>
            </w:r>
          </w:p>
        </w:tc>
      </w:tr>
    </w:tbl>
    <w:p w:rsidR="00E84D00" w:rsidRPr="00E84D00" w:rsidRDefault="00F86AC4" w:rsidP="008129B1">
      <w:pPr>
        <w:pStyle w:val="Balk4"/>
      </w:pPr>
      <w:r>
        <w:t>Yerli üretici</w:t>
      </w:r>
      <w:r w:rsidR="00E66763" w:rsidRPr="00125018">
        <w:t xml:space="preserve"> </w:t>
      </w:r>
      <w:r>
        <w:t>yurt içindeki</w:t>
      </w:r>
      <w:r w:rsidR="00E66763" w:rsidRPr="00125018">
        <w:t xml:space="preserve"> kullanıcıların talebini karşılamaktan uzaktır. </w:t>
      </w:r>
    </w:p>
    <w:p w:rsidR="00F46F0A" w:rsidRDefault="0016571F" w:rsidP="00E84D00">
      <w:pPr>
        <w:ind w:firstLine="708"/>
        <w:jc w:val="both"/>
      </w:pPr>
      <w:r>
        <w:t>Yerli üreticinin</w:t>
      </w:r>
      <w:r w:rsidR="00F46F0A" w:rsidRPr="00125018">
        <w:t xml:space="preserve"> üretim kapasite</w:t>
      </w:r>
      <w:r w:rsidR="001F25DC">
        <w:t>si</w:t>
      </w:r>
      <w:r w:rsidR="00F46F0A" w:rsidRPr="00125018">
        <w:t xml:space="preserve"> inceleme dönemi boyunca sabit kalm</w:t>
      </w:r>
      <w:r w:rsidR="005076E0">
        <w:t xml:space="preserve">ış, artan iç talep nedeniyle </w:t>
      </w:r>
      <w:r w:rsidR="00280DB6">
        <w:t>kapasitenin</w:t>
      </w:r>
      <w:r w:rsidR="00F46F0A" w:rsidRPr="00125018">
        <w:t xml:space="preserve"> yurt içi talebi karşılama oranı yıllar içinde azalmıştır. Petkim yetkilileri, mevcut 70.000 ton/yıl olan üretim kapasitesini</w:t>
      </w:r>
      <w:r w:rsidR="00280DB6">
        <w:t>n</w:t>
      </w:r>
      <w:r w:rsidR="00F46F0A" w:rsidRPr="00125018">
        <w:t xml:space="preserve">, </w:t>
      </w:r>
      <w:r w:rsidR="00280DB6">
        <w:t>devam etmekte olan ve 2015</w:t>
      </w:r>
      <w:r w:rsidR="00F46F0A" w:rsidRPr="00125018">
        <w:t xml:space="preserve"> yılı</w:t>
      </w:r>
      <w:r w:rsidR="00280DB6">
        <w:t xml:space="preserve"> başı</w:t>
      </w:r>
      <w:r w:rsidR="00F46F0A" w:rsidRPr="00125018">
        <w:t>nda devreye alınacak olan kapasite artışı yatırımı sonrası</w:t>
      </w:r>
      <w:r w:rsidR="00280DB6">
        <w:t>nda</w:t>
      </w:r>
      <w:r w:rsidR="00F46F0A" w:rsidRPr="00125018">
        <w:t xml:space="preserve"> %50 artırılarak 105.000 ton/yıla çıkar</w:t>
      </w:r>
      <w:r w:rsidR="001F25DC">
        <w:t>ıl</w:t>
      </w:r>
      <w:r w:rsidR="00F46F0A" w:rsidRPr="00125018">
        <w:t>acağını ifade etmiştir.</w:t>
      </w:r>
    </w:p>
    <w:p w:rsidR="00E84D00" w:rsidRPr="00125018" w:rsidRDefault="00E84D00" w:rsidP="00E84D00">
      <w:pPr>
        <w:ind w:firstLine="708"/>
        <w:jc w:val="both"/>
      </w:pPr>
    </w:p>
    <w:p w:rsidR="00F46F0A" w:rsidRDefault="002A15E0" w:rsidP="00E84D00">
      <w:pPr>
        <w:ind w:firstLine="708"/>
        <w:jc w:val="both"/>
      </w:pPr>
      <w:r w:rsidRPr="00125018">
        <w:t xml:space="preserve">Diğer taraftan </w:t>
      </w:r>
      <w:r w:rsidR="0016571F" w:rsidRPr="00125018">
        <w:t>yerli üretici</w:t>
      </w:r>
      <w:r w:rsidR="0016571F">
        <w:t>,</w:t>
      </w:r>
      <w:r w:rsidR="0016571F" w:rsidRPr="00125018">
        <w:t xml:space="preserve"> </w:t>
      </w:r>
      <w:r w:rsidRPr="00125018">
        <w:t>yurt içi</w:t>
      </w:r>
      <w:r w:rsidR="0016571F">
        <w:t xml:space="preserve">nde söz konusu </w:t>
      </w:r>
      <w:r w:rsidR="002942B2">
        <w:t xml:space="preserve">ürünü </w:t>
      </w:r>
      <w:r w:rsidR="0016571F">
        <w:t>üreten tek firma olarak</w:t>
      </w:r>
      <w:r w:rsidR="0016571F" w:rsidRPr="00125018">
        <w:t xml:space="preserve"> </w:t>
      </w:r>
      <w:r w:rsidRPr="00125018">
        <w:t xml:space="preserve">üretimin tamamını temsil etmektedir. DTÖ Korunma Önlemleri Anlaşmasında ve İthalatta </w:t>
      </w:r>
      <w:r w:rsidR="00F46F0A" w:rsidRPr="00125018">
        <w:t xml:space="preserve">Korunma </w:t>
      </w:r>
      <w:r w:rsidRPr="00125018">
        <w:t>Önlemleri M</w:t>
      </w:r>
      <w:r w:rsidR="00F46F0A" w:rsidRPr="00125018">
        <w:t xml:space="preserve">evzuatı kapsamında </w:t>
      </w:r>
      <w:r w:rsidRPr="00125018">
        <w:t xml:space="preserve">da bir korunma önlemi </w:t>
      </w:r>
      <w:r w:rsidR="00066271">
        <w:t>uygulanabilmesi</w:t>
      </w:r>
      <w:r w:rsidR="00F46F0A" w:rsidRPr="00125018">
        <w:t xml:space="preserve"> için yurt içi </w:t>
      </w:r>
      <w:r w:rsidR="00066271">
        <w:t>üretimin</w:t>
      </w:r>
      <w:r w:rsidR="00F46F0A" w:rsidRPr="00125018">
        <w:t xml:space="preserve"> </w:t>
      </w:r>
      <w:r w:rsidRPr="00125018">
        <w:t xml:space="preserve">önemli bir kısmını temsil etmesi yeterli olup, yurt içi talebin tamamını karşılaması gibi bir zorunluluğu bulunmamaktadır.  </w:t>
      </w:r>
    </w:p>
    <w:p w:rsidR="00E84D00" w:rsidRPr="00125018" w:rsidRDefault="00E84D00" w:rsidP="00E84D00">
      <w:pPr>
        <w:ind w:firstLine="708"/>
        <w:jc w:val="both"/>
      </w:pPr>
    </w:p>
    <w:p w:rsidR="00E84D00" w:rsidRPr="00125018" w:rsidRDefault="00F46F0A" w:rsidP="00F05C7E">
      <w:pPr>
        <w:ind w:firstLine="708"/>
        <w:jc w:val="both"/>
      </w:pPr>
      <w:r w:rsidRPr="00125018">
        <w:t xml:space="preserve">İlgili taraflar </w:t>
      </w:r>
      <w:r w:rsidR="0016571F">
        <w:t>yerli üretici</w:t>
      </w:r>
      <w:r w:rsidR="00066271">
        <w:t>den</w:t>
      </w:r>
      <w:r w:rsidR="00DB4408" w:rsidRPr="00125018">
        <w:t xml:space="preserve"> tedarik sürecinde sıkıntı yaşamakta oldu</w:t>
      </w:r>
      <w:r w:rsidR="00066271">
        <w:t xml:space="preserve">klarını </w:t>
      </w:r>
      <w:r w:rsidR="005240D6">
        <w:t>ifade</w:t>
      </w:r>
      <w:r w:rsidR="00066271">
        <w:t xml:space="preserve"> etmiştir. Ancak</w:t>
      </w:r>
      <w:r w:rsidR="002C01A9">
        <w:t xml:space="preserve"> her türlü ticari faaliyette bu tür durumlarla karşılaşılması mümkün bulunmaktadır.</w:t>
      </w:r>
    </w:p>
    <w:p w:rsidR="00E84D00" w:rsidRPr="00E84D00" w:rsidRDefault="00F86AC4" w:rsidP="008129B1">
      <w:pPr>
        <w:pStyle w:val="Balk4"/>
      </w:pPr>
      <w:r>
        <w:lastRenderedPageBreak/>
        <w:t>Yerli üreticinin</w:t>
      </w:r>
      <w:r w:rsidR="00E66763" w:rsidRPr="00125018">
        <w:t xml:space="preserve"> ekonomik göstergelerinde problemler mevcuttur.</w:t>
      </w:r>
    </w:p>
    <w:p w:rsidR="00E66763" w:rsidRDefault="00DB4408" w:rsidP="00E84D00">
      <w:pPr>
        <w:ind w:firstLine="708"/>
        <w:jc w:val="both"/>
      </w:pPr>
      <w:r w:rsidRPr="00125018">
        <w:t xml:space="preserve">Soruşturma sürecinde ilgili tarafların </w:t>
      </w:r>
      <w:r w:rsidR="003C0E83" w:rsidRPr="00125018">
        <w:t xml:space="preserve">başvurunun gizli olmayan özetinde </w:t>
      </w:r>
      <w:r w:rsidRPr="00125018">
        <w:t xml:space="preserve">endekslenerek verilen bazı bilgilerle ilgili itirazları olmuştur. Söz konusu itiraz 2012 yılının tamamına ilişkin verileri de içeren </w:t>
      </w:r>
      <w:r w:rsidR="002B369D">
        <w:t xml:space="preserve">bazı </w:t>
      </w:r>
      <w:r w:rsidRPr="00125018">
        <w:t>ekonomik göstergelere ilişkin veriler</w:t>
      </w:r>
      <w:r w:rsidR="002C01A9">
        <w:t>in endekslenmemiş şekilde</w:t>
      </w:r>
      <w:r w:rsidRPr="00125018">
        <w:t xml:space="preserve"> </w:t>
      </w:r>
      <w:r w:rsidR="00280DB6">
        <w:t>internet sayfasında yayımlanması</w:t>
      </w:r>
      <w:r w:rsidR="002C01A9">
        <w:t>yla</w:t>
      </w:r>
      <w:r w:rsidRPr="00125018">
        <w:t xml:space="preserve"> giderilmiştir.</w:t>
      </w:r>
      <w:r w:rsidR="003C0E83" w:rsidRPr="00125018">
        <w:rPr>
          <w:rStyle w:val="DipnotBavurusu"/>
          <w:b/>
        </w:rPr>
        <w:footnoteReference w:id="5"/>
      </w:r>
      <w:r w:rsidRPr="00125018">
        <w:t xml:space="preserve"> </w:t>
      </w:r>
      <w:r w:rsidR="003C0E83" w:rsidRPr="00125018">
        <w:t>Petkim yıllık r</w:t>
      </w:r>
      <w:r w:rsidR="00E66763" w:rsidRPr="00125018">
        <w:t>aporlarında kamuya açık ol</w:t>
      </w:r>
      <w:r w:rsidR="007D0117">
        <w:t xml:space="preserve">arak yer alan üretim, kapasite ve </w:t>
      </w:r>
      <w:r w:rsidR="00E66763" w:rsidRPr="00125018">
        <w:t xml:space="preserve">kapasite kullanım oranı verileri </w:t>
      </w:r>
      <w:r w:rsidR="002B369D">
        <w:t xml:space="preserve">endekslenmemiş </w:t>
      </w:r>
      <w:r w:rsidR="00E66763" w:rsidRPr="00125018">
        <w:t xml:space="preserve">olarak </w:t>
      </w:r>
      <w:r w:rsidR="003C0E83" w:rsidRPr="00125018">
        <w:t>ilan edilmiştir</w:t>
      </w:r>
      <w:r w:rsidR="00E66763" w:rsidRPr="00125018">
        <w:t xml:space="preserve">. </w:t>
      </w:r>
      <w:r w:rsidR="003C0E83" w:rsidRPr="00125018">
        <w:t xml:space="preserve">Diğer ekonomik veriler yerli üreticinin ticari sırlarının korunması amacıyla endekslenerek ilan edilmiştir. </w:t>
      </w:r>
    </w:p>
    <w:p w:rsidR="00E84D00" w:rsidRPr="00125018" w:rsidRDefault="00E84D00" w:rsidP="00E84D00">
      <w:pPr>
        <w:ind w:firstLine="708"/>
        <w:jc w:val="both"/>
      </w:pPr>
    </w:p>
    <w:p w:rsidR="00327AE6" w:rsidRDefault="003C0E83" w:rsidP="00F05C7E">
      <w:pPr>
        <w:ind w:firstLine="708"/>
        <w:jc w:val="both"/>
      </w:pPr>
      <w:r w:rsidRPr="00E2135C">
        <w:t xml:space="preserve">İşgücü, verimlilik ve karlılık gibi ekonomik göstergelerin nasıl hesaplandığı ve nasıl ayrıştırıldıklarına ilişkin olarak, yerli üreticinin üretim tesislerinde yapılan yerinde incelemede araştırma </w:t>
      </w:r>
      <w:r w:rsidR="00A74D84" w:rsidRPr="00E2135C">
        <w:t>yapılmış</w:t>
      </w:r>
      <w:r w:rsidR="00093FB2">
        <w:t xml:space="preserve">tır. İşgücü verisinin yalnızca PTA fabrikasında çalışan direk işçileri kapsadığı, verimliliğin üretim ve işgücü verisi kullanılarak hesaplandığı anlaşılmıştır. Petkim dâhilinde faaliyet gösteren fabrikaların maliyet muhasebelerinin ayrı ayrı tutulduğu tespit edilmiştir. </w:t>
      </w:r>
      <w:r w:rsidR="00CD2794">
        <w:t>Petkim içerisinde yer alan işletmeler</w:t>
      </w:r>
      <w:r w:rsidR="00093FB2">
        <w:t xml:space="preserve"> tek bir muhasebe sistemi altında izlenen ayrı ekonomik birimlerdir. </w:t>
      </w:r>
      <w:r w:rsidR="00CD2794">
        <w:t xml:space="preserve">Örneğin, PTA fabrikası </w:t>
      </w:r>
      <w:proofErr w:type="gramStart"/>
      <w:r w:rsidR="00CD2794">
        <w:t>aromatikler</w:t>
      </w:r>
      <w:proofErr w:type="gramEnd"/>
      <w:r w:rsidR="00CD2794">
        <w:t xml:space="preserve"> fabrikasının ürettiği</w:t>
      </w:r>
      <w:r w:rsidR="00093FB2">
        <w:t xml:space="preserve"> </w:t>
      </w:r>
      <w:r w:rsidR="00CD2794">
        <w:t>paraksilen ürününü</w:t>
      </w:r>
      <w:r w:rsidR="00093FB2">
        <w:t xml:space="preserve"> girdi olarak </w:t>
      </w:r>
      <w:r w:rsidR="00CD2794">
        <w:t>kullanırken, ayrı bir</w:t>
      </w:r>
      <w:r w:rsidR="00093FB2">
        <w:t xml:space="preserve"> </w:t>
      </w:r>
      <w:r w:rsidR="00CD2794">
        <w:t>işletmeymiş</w:t>
      </w:r>
      <w:r w:rsidR="00093FB2">
        <w:t xml:space="preserve"> gibi ürün talep etmekte ve </w:t>
      </w:r>
      <w:r w:rsidR="00CD2794">
        <w:t>bu gider</w:t>
      </w:r>
      <w:r w:rsidR="00093FB2">
        <w:t xml:space="preserve"> fabrikaya özel hesaplarda muhasebeleştirilmektedir. Tüm </w:t>
      </w:r>
      <w:r w:rsidR="00CD2794">
        <w:t>fabrikaların</w:t>
      </w:r>
      <w:r w:rsidR="00093FB2">
        <w:t xml:space="preserve"> ortak kullandığı bakım onarım gruplarından da </w:t>
      </w:r>
      <w:r w:rsidR="00CD2794">
        <w:t xml:space="preserve">PTA fabrikasınca </w:t>
      </w:r>
      <w:r w:rsidR="00093FB2">
        <w:t>hizmet talep edildiğinde, alınan hizmetin süresine göre fabrika</w:t>
      </w:r>
      <w:r w:rsidR="00CD2794">
        <w:t xml:space="preserve">ya gider yazılmaktadır. </w:t>
      </w:r>
      <w:r w:rsidR="00093FB2">
        <w:t xml:space="preserve"> </w:t>
      </w:r>
      <w:r w:rsidR="00CD2794">
        <w:t>Şu an</w:t>
      </w:r>
      <w:r w:rsidR="00E1462C">
        <w:t>da</w:t>
      </w:r>
      <w:r w:rsidR="00CD2794">
        <w:t xml:space="preserve"> devam eden %50 kapasite artırımı yatırımı ise sonuçlanana kadar Petkim’in genel finansman maliyetine yansımakta olup, devreye girdiğinde PTA fabrikasının maliyetlerine </w:t>
      </w:r>
      <w:proofErr w:type="gramStart"/>
      <w:r w:rsidR="00CD2794">
        <w:t>amortisman</w:t>
      </w:r>
      <w:proofErr w:type="gramEnd"/>
      <w:r w:rsidR="00CD2794">
        <w:t xml:space="preserve"> gideri olarak yansıyacaktır. </w:t>
      </w:r>
    </w:p>
    <w:p w:rsidR="00327AE6" w:rsidRDefault="00327AE6" w:rsidP="00F05C7E">
      <w:pPr>
        <w:ind w:firstLine="708"/>
        <w:jc w:val="both"/>
      </w:pPr>
    </w:p>
    <w:p w:rsidR="00E84D00" w:rsidRPr="00125018" w:rsidRDefault="00CD2794" w:rsidP="00F05C7E">
      <w:pPr>
        <w:ind w:firstLine="708"/>
        <w:jc w:val="both"/>
      </w:pPr>
      <w:r>
        <w:t xml:space="preserve">Sonuç olarak, </w:t>
      </w:r>
      <w:r w:rsidR="00327AE6">
        <w:t xml:space="preserve">PTA fabrikasına ilişkin muhasebe </w:t>
      </w:r>
      <w:r w:rsidR="003C0E83" w:rsidRPr="00E2135C">
        <w:t>verilerin</w:t>
      </w:r>
      <w:r w:rsidR="00327AE6">
        <w:t>in</w:t>
      </w:r>
      <w:r w:rsidR="003C0E83" w:rsidRPr="00E2135C">
        <w:t xml:space="preserve"> </w:t>
      </w:r>
      <w:r w:rsidR="00327AE6" w:rsidRPr="00E2135C">
        <w:t xml:space="preserve">şirket muhasebe bölümü tarafından </w:t>
      </w:r>
      <w:r w:rsidR="00327AE6">
        <w:t>sonradan herhangi bir hesaplamaya gerek olmadan ayrı olarak tutulduğu anlaşılmıştır.</w:t>
      </w:r>
    </w:p>
    <w:p w:rsidR="00E84D00" w:rsidRPr="00E84D00" w:rsidRDefault="00E66763" w:rsidP="008129B1">
      <w:pPr>
        <w:pStyle w:val="Balk4"/>
      </w:pPr>
      <w:r w:rsidRPr="00125018">
        <w:t>Ekonomik göstergeler herhangi bir ciddi zarara işaret etmemektedir. 2011 yılı ile 2008 yılı verileri karşılaştırıldığında üretim, kapasite kullanım oranı, yurt içi ve yurt dışı satışlar ve verimlilik artış içinde olmuştur.</w:t>
      </w:r>
    </w:p>
    <w:p w:rsidR="003C0E83" w:rsidRPr="00125018" w:rsidRDefault="003C0E83" w:rsidP="00F05C7E">
      <w:pPr>
        <w:ind w:firstLine="708"/>
        <w:jc w:val="both"/>
      </w:pPr>
      <w:r w:rsidRPr="00E2135C">
        <w:t>Bu iddialar yerli üretimin e</w:t>
      </w:r>
      <w:r w:rsidR="00A83B7B">
        <w:t>konomik göstergelerine ilişkin 5</w:t>
      </w:r>
      <w:r w:rsidRPr="00E2135C">
        <w:t>. bölümde cevaplandırılmıştır.</w:t>
      </w:r>
      <w:r w:rsidRPr="00E84D00">
        <w:tab/>
      </w:r>
    </w:p>
    <w:p w:rsidR="00E84D00" w:rsidRPr="00E84D00" w:rsidRDefault="00E66763" w:rsidP="008129B1">
      <w:pPr>
        <w:pStyle w:val="Balk4"/>
      </w:pPr>
      <w:r w:rsidRPr="00125018">
        <w:t>Artan ithalat ve iddia edilen ciddi zarar arasında illiyet bağı yoktur. Zarar başka sebeplerden kaynaklanmaktadır.</w:t>
      </w:r>
    </w:p>
    <w:p w:rsidR="00DB4408" w:rsidRDefault="00DB4408" w:rsidP="00F05C7E">
      <w:pPr>
        <w:ind w:firstLine="708"/>
        <w:jc w:val="both"/>
      </w:pPr>
      <w:r w:rsidRPr="00E2135C">
        <w:t>Bu iddialar nedensellik bağına</w:t>
      </w:r>
      <w:r w:rsidR="00A83B7B">
        <w:t xml:space="preserve"> ilişkin 6</w:t>
      </w:r>
      <w:r w:rsidRPr="00E2135C">
        <w:t>. bölümde cevaplandırılmıştır.</w:t>
      </w:r>
    </w:p>
    <w:p w:rsidR="00E84D00" w:rsidRPr="007F7019" w:rsidRDefault="00E66763" w:rsidP="008129B1">
      <w:pPr>
        <w:pStyle w:val="Balk4"/>
      </w:pPr>
      <w:r w:rsidRPr="007F7019">
        <w:t xml:space="preserve">Petkim inceleme döneminde ve özellikle 2012 yılında artan fiyatı nedeniyle paraksilen satışı yapmak için PTA üretimini durdurmuştur. </w:t>
      </w:r>
    </w:p>
    <w:p w:rsidR="00B0060E" w:rsidRDefault="00B0060E" w:rsidP="00B0060E">
      <w:pPr>
        <w:ind w:firstLine="708"/>
        <w:jc w:val="both"/>
      </w:pPr>
      <w:r w:rsidRPr="00E2135C">
        <w:t>Bu iddialar nedensellik bağına</w:t>
      </w:r>
      <w:r>
        <w:t xml:space="preserve"> ilişkin 6</w:t>
      </w:r>
      <w:r w:rsidRPr="00E2135C">
        <w:t>. bölümde cevaplandırılmıştır.</w:t>
      </w:r>
    </w:p>
    <w:p w:rsidR="00F86AC4" w:rsidRDefault="00013D2E" w:rsidP="008129B1">
      <w:pPr>
        <w:pStyle w:val="Balk4"/>
      </w:pPr>
      <w:r>
        <w:t>C</w:t>
      </w:r>
      <w:r w:rsidR="00E66763" w:rsidRPr="00125018">
        <w:t xml:space="preserve">iddi zarardan bahsedilen bir ortamda Petkim kapasitesini %50 </w:t>
      </w:r>
      <w:r w:rsidR="00E1462C">
        <w:t xml:space="preserve">oranında </w:t>
      </w:r>
      <w:r w:rsidR="00E66763" w:rsidRPr="00125018">
        <w:t xml:space="preserve">arttırmayı planlamaktadır. Talep edilen önlem bu yatırımın geri dönüşünü kolaylaştırmak için yapılmaktadır. Bunun yanında bir </w:t>
      </w:r>
      <w:proofErr w:type="gramStart"/>
      <w:r w:rsidR="00E66763" w:rsidRPr="00125018">
        <w:t>konteynır</w:t>
      </w:r>
      <w:proofErr w:type="gramEnd"/>
      <w:r w:rsidR="00E66763" w:rsidRPr="00125018">
        <w:t xml:space="preserve"> limanını da içeren milyarlarca dolarlık yatırım yapacağını ve Aliağa’yı bir petrokimya </w:t>
      </w:r>
      <w:r w:rsidR="00E66763" w:rsidRPr="00125018">
        <w:lastRenderedPageBreak/>
        <w:t>üssüne çevirmeyi açıklayan Petkim’in ciddi zarar ile karşı karşıya olduğunu iddia etmek mümkün değildir.</w:t>
      </w:r>
    </w:p>
    <w:p w:rsidR="00F86AC4" w:rsidRDefault="00F86AC4" w:rsidP="00F86AC4">
      <w:pPr>
        <w:ind w:firstLine="708"/>
        <w:jc w:val="both"/>
      </w:pPr>
      <w:r>
        <w:t xml:space="preserve">Başvuru sahibi firmadan alınan bilgilere göre Petkim’in </w:t>
      </w:r>
      <w:proofErr w:type="spellStart"/>
      <w:r>
        <w:t>PTA</w:t>
      </w:r>
      <w:proofErr w:type="spellEnd"/>
      <w:r>
        <w:t xml:space="preserve"> fabrikasında kapasiteyi %50 oranında artırma kararı 2010 yılında alınmış bir karar olup</w:t>
      </w:r>
      <w:r>
        <w:rPr>
          <w:rStyle w:val="DipnotBavurusu"/>
        </w:rPr>
        <w:footnoteReference w:id="6"/>
      </w:r>
      <w:r>
        <w:t>, bu karar kapsamındaki sözleşmenin imzalanmasına ilişkin kamuoyu açıklaması 2011 yılı Ekim ayında yapılmıştır.</w:t>
      </w:r>
      <w:r>
        <w:rPr>
          <w:rStyle w:val="DipnotBavurusu"/>
        </w:rPr>
        <w:footnoteReference w:id="7"/>
      </w:r>
      <w:r>
        <w:t xml:space="preserve"> Aşağıdaki bölümlerde ayrıntılı olarak görüleceği üzere 2009 yılında %86 olan PTA fabrikasındaki kapasite kullanım oranı 2010 yılında %105’e ulaşmış, 2011 yılında ise %86 olarak gerçekleşmiştir. Bu yatırım kararı da yukarıda bahsedilen piyasa koşullarında alınmıştır. Ancak 2012 ve 2013 yıllarında ithalatta yaşanan ani artış nedeniyle fabrikada üretime ara verilmek durumunda kalınmış olup, korunma önlemine ilişkin başvuru da 2012 yılı Aralık ayında yapılmıştır. </w:t>
      </w:r>
    </w:p>
    <w:p w:rsidR="00F86AC4" w:rsidRDefault="00F86AC4" w:rsidP="00F86AC4">
      <w:pPr>
        <w:ind w:firstLine="708"/>
        <w:jc w:val="both"/>
      </w:pPr>
    </w:p>
    <w:p w:rsidR="00F86AC4" w:rsidRDefault="00F86AC4" w:rsidP="00F86AC4">
      <w:pPr>
        <w:ind w:firstLine="708"/>
        <w:jc w:val="both"/>
      </w:pPr>
      <w:r w:rsidRPr="00633A57">
        <w:t>Petkim Petrokimya Holding A.Ş.´</w:t>
      </w:r>
      <w:proofErr w:type="spellStart"/>
      <w:r w:rsidRPr="00633A57">
        <w:t>nin</w:t>
      </w:r>
      <w:proofErr w:type="spellEnd"/>
      <w:r w:rsidRPr="00633A57">
        <w:t xml:space="preserve"> sermayesindeki</w:t>
      </w:r>
      <w:r>
        <w:t>, %51 oranındaki kamu hissesi; b</w:t>
      </w:r>
      <w:r w:rsidRPr="00633A57">
        <w:t xml:space="preserve">lok </w:t>
      </w:r>
      <w:r>
        <w:t>s</w:t>
      </w:r>
      <w:r w:rsidRPr="00633A57">
        <w:t xml:space="preserve">atış </w:t>
      </w:r>
      <w:r>
        <w:t>yöntemi ile özelleştirilmesine i</w:t>
      </w:r>
      <w:r w:rsidRPr="00633A57">
        <w:t xml:space="preserve">lişkin </w:t>
      </w:r>
      <w:r>
        <w:t>i</w:t>
      </w:r>
      <w:r w:rsidRPr="00633A57">
        <w:t xml:space="preserve">hale süreci sonucunda 30 Mayıs 2008 tarihinde </w:t>
      </w:r>
      <w:r>
        <w:t xml:space="preserve">SOCAR &amp; </w:t>
      </w:r>
      <w:proofErr w:type="spellStart"/>
      <w:r>
        <w:t>Turcas</w:t>
      </w:r>
      <w:proofErr w:type="spellEnd"/>
      <w:r>
        <w:t xml:space="preserve"> Petrokimya </w:t>
      </w:r>
      <w:proofErr w:type="spellStart"/>
      <w:r>
        <w:t>A.Ş.´y</w:t>
      </w:r>
      <w:r w:rsidRPr="00633A57">
        <w:t>e</w:t>
      </w:r>
      <w:proofErr w:type="spellEnd"/>
      <w:r w:rsidRPr="00633A57">
        <w:t xml:space="preserve"> geçmiştir.</w:t>
      </w:r>
      <w:r>
        <w:rPr>
          <w:rStyle w:val="DipnotBavurusu"/>
        </w:rPr>
        <w:footnoteReference w:id="8"/>
      </w:r>
      <w:r>
        <w:rPr>
          <w:rStyle w:val="apple-converted-space"/>
          <w:rFonts w:ascii="Arial" w:hAnsi="Arial"/>
          <w:color w:val="666666"/>
          <w:sz w:val="18"/>
          <w:szCs w:val="18"/>
          <w:shd w:val="clear" w:color="auto" w:fill="FFFFFF"/>
        </w:rPr>
        <w:t> </w:t>
      </w:r>
      <w:r>
        <w:t xml:space="preserve">İlgili taraflarca belirtilen </w:t>
      </w:r>
      <w:proofErr w:type="gramStart"/>
      <w:r>
        <w:t>konteynır</w:t>
      </w:r>
      <w:proofErr w:type="gramEnd"/>
      <w:r>
        <w:t xml:space="preserve"> limanı inşaatı ise </w:t>
      </w:r>
      <w:r w:rsidRPr="00633A57">
        <w:t xml:space="preserve">Petkim Limanı’nın geliştirilmesi, daha ekonomik olarak işletilebilmesi için Petkim’in %100 iştiraki olarak 22 Kasım </w:t>
      </w:r>
      <w:proofErr w:type="spellStart"/>
      <w:r w:rsidRPr="00633A57">
        <w:t>2010’da</w:t>
      </w:r>
      <w:proofErr w:type="spellEnd"/>
      <w:r w:rsidRPr="00633A57">
        <w:t xml:space="preserve"> </w:t>
      </w:r>
      <w:r>
        <w:t xml:space="preserve">kurulan </w:t>
      </w:r>
      <w:r w:rsidRPr="00633A57">
        <w:t xml:space="preserve">Petlim </w:t>
      </w:r>
      <w:proofErr w:type="spellStart"/>
      <w:r w:rsidRPr="00633A57">
        <w:t>Limancılık</w:t>
      </w:r>
      <w:proofErr w:type="spellEnd"/>
      <w:r w:rsidRPr="00633A57">
        <w:t xml:space="preserve"> Ticaret </w:t>
      </w:r>
      <w:proofErr w:type="spellStart"/>
      <w:r w:rsidRPr="00633A57">
        <w:t>A.Ş</w:t>
      </w:r>
      <w:proofErr w:type="spellEnd"/>
      <w:r w:rsidRPr="00633A57">
        <w:t xml:space="preserve">. </w:t>
      </w:r>
      <w:r>
        <w:t>tarafından gerçekleştirilmektedir.</w:t>
      </w:r>
      <w:r>
        <w:rPr>
          <w:rStyle w:val="DipnotBavurusu"/>
        </w:rPr>
        <w:footnoteReference w:id="9"/>
      </w:r>
      <w:r>
        <w:t xml:space="preserve"> </w:t>
      </w:r>
    </w:p>
    <w:p w:rsidR="00F86AC4" w:rsidRDefault="00F86AC4" w:rsidP="00F86AC4">
      <w:pPr>
        <w:ind w:firstLine="708"/>
        <w:jc w:val="both"/>
      </w:pPr>
    </w:p>
    <w:p w:rsidR="00F86AC4" w:rsidRDefault="00F86AC4" w:rsidP="00F86AC4">
      <w:pPr>
        <w:ind w:firstLine="708"/>
        <w:jc w:val="both"/>
      </w:pPr>
      <w:r>
        <w:t>Petkim, 2012 yılında 17,4</w:t>
      </w:r>
      <w:r w:rsidRPr="00C12F2B">
        <w:t xml:space="preserve"> </w:t>
      </w:r>
      <w:r>
        <w:t>milyon</w:t>
      </w:r>
      <w:r w:rsidRPr="00C12F2B">
        <w:t xml:space="preserve"> Türk Lirası net kar elde etmiştir.</w:t>
      </w:r>
      <w:r>
        <w:rPr>
          <w:rStyle w:val="DipnotBavurusu"/>
        </w:rPr>
        <w:footnoteReference w:id="10"/>
      </w:r>
      <w:r>
        <w:t xml:space="preserve"> Petkim’in </w:t>
      </w:r>
      <w:proofErr w:type="gramStart"/>
      <w:r>
        <w:t>k</w:t>
      </w:r>
      <w:r w:rsidRPr="007F7019">
        <w:t>onsolide</w:t>
      </w:r>
      <w:proofErr w:type="gramEnd"/>
      <w:r w:rsidRPr="007F7019">
        <w:t xml:space="preserve"> finansal tablolar</w:t>
      </w:r>
      <w:r>
        <w:t>ı</w:t>
      </w:r>
      <w:r w:rsidRPr="007F7019">
        <w:t xml:space="preserve"> Petkim ve Petkim</w:t>
      </w:r>
      <w:r>
        <w:t>’in %</w:t>
      </w:r>
      <w:proofErr w:type="spellStart"/>
      <w:r>
        <w:t>99,99’una</w:t>
      </w:r>
      <w:proofErr w:type="spellEnd"/>
      <w:r>
        <w:t xml:space="preserve"> sahip olduğu Petk</w:t>
      </w:r>
      <w:r w:rsidRPr="007F7019">
        <w:t>im’in finansal tablolarını kapsamaktadır.</w:t>
      </w:r>
      <w:r>
        <w:rPr>
          <w:rStyle w:val="DipnotBavurusu"/>
        </w:rPr>
        <w:footnoteReference w:id="11"/>
      </w:r>
      <w:r>
        <w:t xml:space="preserve"> Diğer taraftan, Petkim bünyesinde </w:t>
      </w:r>
      <w:proofErr w:type="spellStart"/>
      <w:r>
        <w:t>PTA</w:t>
      </w:r>
      <w:proofErr w:type="spellEnd"/>
      <w:r>
        <w:t xml:space="preserve"> fabrikası dışında 14 ayrı fabrika faaliyet göstermektedir. Korunma önlemi başvurusu ise yalnızca PTA ürünü için yapılmış ve Petkim tarafından Bakanlığımıza yalnızca bu ürüne ilişkin ekonomik veriler ulaştırılmıştır. </w:t>
      </w:r>
      <w:r w:rsidR="00E1462C">
        <w:t>Z</w:t>
      </w:r>
      <w:r>
        <w:t>arar değerlendirmesi de sadece bu veriler kullanılarak yapılmıştır. Petkim’in şirket olarak kar ettiği hususu doğru olmakla birlikte, bu durum PTA işletmesine ilişkin olarak yapılacak zarar değerlendirmesine halel getirmemektedir.</w:t>
      </w:r>
    </w:p>
    <w:p w:rsidR="00AF4AF2" w:rsidRPr="00EA573C" w:rsidRDefault="004328B1" w:rsidP="008129B1">
      <w:pPr>
        <w:pStyle w:val="Balk4"/>
      </w:pPr>
      <w:r w:rsidRPr="00EA573C">
        <w:t xml:space="preserve">Diğer </w:t>
      </w:r>
      <w:r w:rsidR="00C42474" w:rsidRPr="00EA573C">
        <w:t>faktörler</w:t>
      </w:r>
    </w:p>
    <w:p w:rsidR="004328B1" w:rsidRDefault="004328B1" w:rsidP="00F05C7E">
      <w:pPr>
        <w:ind w:firstLine="708"/>
        <w:jc w:val="both"/>
      </w:pPr>
      <w:r w:rsidRPr="00125018">
        <w:t xml:space="preserve">Soruşturma esnasında ilgili taraflarca ithalat dışında kalan faktörlerin yerli sanayi dalı üzerindeki etkilerine yönelik görüşler sunulmuştur. Bu çerçevede, konuya ilişkin değerlendirmeler, </w:t>
      </w:r>
      <w:r w:rsidR="00A83B7B">
        <w:t>nedensellik bağına ilişkin 6</w:t>
      </w:r>
      <w:r w:rsidR="00871248" w:rsidRPr="00125018">
        <w:t>.</w:t>
      </w:r>
      <w:r w:rsidR="003A2625">
        <w:t xml:space="preserve"> bölüm</w:t>
      </w:r>
      <w:r w:rsidRPr="00125018">
        <w:t>de yer almaktadır.</w:t>
      </w:r>
    </w:p>
    <w:p w:rsidR="00013D2E" w:rsidRDefault="00013D2E" w:rsidP="00F05C7E">
      <w:pPr>
        <w:ind w:firstLine="708"/>
        <w:jc w:val="both"/>
      </w:pPr>
    </w:p>
    <w:p w:rsidR="004328B1" w:rsidRPr="008A3C30" w:rsidRDefault="004328B1" w:rsidP="00F05C7E">
      <w:pPr>
        <w:pStyle w:val="Balk2"/>
      </w:pPr>
      <w:bookmarkStart w:id="31" w:name="_Toc384116970"/>
      <w:r w:rsidRPr="008A3C30">
        <w:t>ÖNGÖRÜLMEYEN GELİŞMELER</w:t>
      </w:r>
      <w:bookmarkEnd w:id="31"/>
    </w:p>
    <w:p w:rsidR="00A87D08" w:rsidRPr="00125018" w:rsidRDefault="00A87D08" w:rsidP="00F05C7E">
      <w:pPr>
        <w:ind w:firstLine="708"/>
        <w:jc w:val="both"/>
      </w:pPr>
      <w:r w:rsidRPr="00125018">
        <w:t xml:space="preserve">Bu bölümde başvuru sahibi yerli üreticinin ithalatın artmasına neden olduğunu ileri sürdüğü öngörülmeyen gelişmeler irdelenecektir. </w:t>
      </w:r>
    </w:p>
    <w:p w:rsidR="00F05C7E" w:rsidRPr="00F05C7E" w:rsidRDefault="00F05C7E" w:rsidP="00A85C10">
      <w:pPr>
        <w:pStyle w:val="ListeParagraf"/>
        <w:keepNext/>
        <w:numPr>
          <w:ilvl w:val="0"/>
          <w:numId w:val="7"/>
        </w:numPr>
        <w:spacing w:before="240" w:after="240" w:line="360" w:lineRule="auto"/>
        <w:contextualSpacing w:val="0"/>
        <w:outlineLvl w:val="2"/>
        <w:rPr>
          <w:rFonts w:ascii="Times New Roman" w:eastAsia="Times New Roman" w:hAnsi="Times New Roman" w:cs="Arial"/>
          <w:b/>
          <w:bCs/>
          <w:vanish/>
          <w:sz w:val="24"/>
          <w:szCs w:val="16"/>
          <w:lang w:eastAsia="tr-TR"/>
        </w:rPr>
      </w:pPr>
      <w:bookmarkStart w:id="32" w:name="_Toc365040412"/>
      <w:bookmarkStart w:id="33" w:name="_Toc365383360"/>
      <w:bookmarkStart w:id="34" w:name="_Toc380746371"/>
      <w:bookmarkStart w:id="35" w:name="_Toc381623875"/>
      <w:bookmarkStart w:id="36" w:name="_Toc381624050"/>
      <w:bookmarkStart w:id="37" w:name="_Toc381624226"/>
      <w:bookmarkStart w:id="38" w:name="_Toc381629410"/>
      <w:bookmarkStart w:id="39" w:name="_Toc381865087"/>
      <w:bookmarkStart w:id="40" w:name="_Toc381865940"/>
      <w:bookmarkStart w:id="41" w:name="_Toc381967957"/>
      <w:bookmarkStart w:id="42" w:name="_Toc383597514"/>
      <w:bookmarkStart w:id="43" w:name="_Toc383613919"/>
      <w:bookmarkStart w:id="44" w:name="_Toc383613964"/>
      <w:bookmarkStart w:id="45" w:name="_Toc383683776"/>
      <w:bookmarkStart w:id="46" w:name="_Toc383697986"/>
      <w:bookmarkStart w:id="47" w:name="_Toc383709920"/>
      <w:bookmarkStart w:id="48" w:name="_Toc383768409"/>
      <w:bookmarkStart w:id="49" w:name="_Toc383777613"/>
      <w:bookmarkStart w:id="50" w:name="_Toc383778346"/>
      <w:bookmarkStart w:id="51" w:name="_Toc38411697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A83B7B" w:rsidRPr="00A83B7B" w:rsidRDefault="00A83B7B" w:rsidP="00A83B7B">
      <w:pPr>
        <w:pStyle w:val="ListeParagraf"/>
        <w:keepNext/>
        <w:numPr>
          <w:ilvl w:val="0"/>
          <w:numId w:val="8"/>
        </w:numPr>
        <w:spacing w:before="240" w:after="240" w:line="240" w:lineRule="auto"/>
        <w:contextualSpacing w:val="0"/>
        <w:jc w:val="both"/>
        <w:outlineLvl w:val="3"/>
        <w:rPr>
          <w:rFonts w:ascii="Times New Roman" w:eastAsia="Times New Roman" w:hAnsi="Times New Roman" w:cs="Arial"/>
          <w:b/>
          <w:bCs/>
          <w:vanish/>
          <w:sz w:val="24"/>
          <w:szCs w:val="16"/>
          <w:lang w:eastAsia="tr-TR"/>
        </w:rPr>
      </w:pPr>
    </w:p>
    <w:p w:rsidR="000C7A48" w:rsidRPr="000C7A48" w:rsidRDefault="000C7A48" w:rsidP="008129B1">
      <w:pPr>
        <w:pStyle w:val="Balk4"/>
      </w:pPr>
      <w:r>
        <w:t xml:space="preserve">Avrupa </w:t>
      </w:r>
      <w:r w:rsidR="00C42474">
        <w:t xml:space="preserve">pazarında yaşanan </w:t>
      </w:r>
      <w:r w:rsidR="00C42474" w:rsidRPr="000C7A48">
        <w:t>gelişmeler</w:t>
      </w:r>
    </w:p>
    <w:p w:rsidR="00AB69ED" w:rsidRDefault="00AB69ED" w:rsidP="00E83EC5">
      <w:pPr>
        <w:ind w:firstLine="708"/>
        <w:jc w:val="both"/>
      </w:pPr>
      <w:r w:rsidRPr="00125018">
        <w:t>2008 yılında tüm dünyada ortaya çıkan finansal ve ekonomik kriz, Avrupa ekonomisi üzerinde de etkili olmuştur. AB ülkelerinde ve genel olarak Avrupa’da bir ekonomik yavaşlama ortaya çıkmıştır.</w:t>
      </w:r>
      <w:r w:rsidR="00E83EC5">
        <w:t xml:space="preserve"> </w:t>
      </w:r>
      <w:r w:rsidRPr="00125018">
        <w:t xml:space="preserve">Bu yavaşlama halen devam etmekte olup, Avrupa PTA piyasası üzerinde de etkili olmuştur. </w:t>
      </w:r>
    </w:p>
    <w:p w:rsidR="00CE51EC" w:rsidRDefault="00CE51EC" w:rsidP="00F05C7E">
      <w:pPr>
        <w:ind w:firstLine="708"/>
        <w:jc w:val="both"/>
      </w:pPr>
    </w:p>
    <w:p w:rsidR="00F05C7E" w:rsidRPr="00125018" w:rsidRDefault="00CE51EC" w:rsidP="00CE51EC">
      <w:pPr>
        <w:jc w:val="both"/>
      </w:pPr>
      <w:r w:rsidRPr="009E43F0">
        <w:rPr>
          <w:noProof/>
          <w:bdr w:val="double" w:sz="4" w:space="0" w:color="auto"/>
        </w:rPr>
        <w:drawing>
          <wp:inline distT="0" distB="0" distL="0" distR="0" wp14:anchorId="12CAE6A0" wp14:editId="0CFE4100">
            <wp:extent cx="5753100" cy="3333750"/>
            <wp:effectExtent l="0" t="0" r="0" b="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A2F5D" w:rsidRDefault="00AA2F5D" w:rsidP="002D2AA2">
      <w:pPr>
        <w:ind w:firstLine="708"/>
        <w:jc w:val="both"/>
      </w:pPr>
    </w:p>
    <w:p w:rsidR="00EA18AC" w:rsidRDefault="00E83EC5" w:rsidP="002D2AA2">
      <w:pPr>
        <w:ind w:firstLine="708"/>
        <w:jc w:val="both"/>
      </w:pPr>
      <w:r w:rsidRPr="00125018">
        <w:t>2007</w:t>
      </w:r>
      <w:r w:rsidR="00EA18AC" w:rsidRPr="00125018">
        <w:t xml:space="preserve"> yılında 2,4 milyon ton olan üretim 2008’de 1,875 milyon tona gerilerken </w:t>
      </w:r>
      <w:r>
        <w:t>ü</w:t>
      </w:r>
      <w:r w:rsidR="00AB69ED" w:rsidRPr="00125018">
        <w:t>retimdeki dü</w:t>
      </w:r>
      <w:r>
        <w:t xml:space="preserve">şüş 2009 yılında da devam etmiş, </w:t>
      </w:r>
      <w:r w:rsidR="00AB69ED" w:rsidRPr="00125018">
        <w:t xml:space="preserve">2010 yılında ise 2007 yılındaki seviyesine yükselmiştir. 2011 yılında 2,575 milyon tona </w:t>
      </w:r>
      <w:r w:rsidR="00E1462C">
        <w:t>yükselen</w:t>
      </w:r>
      <w:r w:rsidR="00AB69ED" w:rsidRPr="00125018">
        <w:t xml:space="preserve"> üretim miktarı, 2012 yılında da bu seviyede kalmıştır. </w:t>
      </w:r>
    </w:p>
    <w:p w:rsidR="00EA18AC" w:rsidRDefault="00EA18AC" w:rsidP="002D2AA2">
      <w:pPr>
        <w:ind w:firstLine="708"/>
        <w:jc w:val="both"/>
      </w:pPr>
    </w:p>
    <w:p w:rsidR="009219C0" w:rsidRDefault="00AB69ED" w:rsidP="002D2AA2">
      <w:pPr>
        <w:ind w:firstLine="708"/>
        <w:jc w:val="both"/>
      </w:pPr>
      <w:r w:rsidRPr="00125018">
        <w:t xml:space="preserve">Diğer taraftan, Batı Avrupa PTA tüketimi 2008 sonrasında </w:t>
      </w:r>
      <w:r w:rsidR="00EA18AC">
        <w:t>düşüş eğilimi göstermiş</w:t>
      </w:r>
      <w:r w:rsidRPr="00125018">
        <w:t xml:space="preserve"> </w:t>
      </w:r>
      <w:r w:rsidR="00AB5837" w:rsidRPr="00125018">
        <w:t xml:space="preserve">2009, 2010 ve 2011 yıllarında art </w:t>
      </w:r>
      <w:r w:rsidR="002E2E80" w:rsidRPr="00125018">
        <w:t xml:space="preserve">arda düşerek </w:t>
      </w:r>
      <w:r w:rsidR="00E83EC5">
        <w:t>2007 yılındaki 2,015 milyon ton seviyesinden</w:t>
      </w:r>
      <w:r w:rsidR="00E83EC5" w:rsidRPr="00125018">
        <w:t xml:space="preserve"> </w:t>
      </w:r>
      <w:r w:rsidR="002E2E80" w:rsidRPr="00125018">
        <w:t>1</w:t>
      </w:r>
      <w:r w:rsidRPr="00125018">
        <w:t xml:space="preserve">,647 milyon ton seviyesine </w:t>
      </w:r>
      <w:r w:rsidR="00AB5837" w:rsidRPr="00125018">
        <w:t>gerilemiştir.</w:t>
      </w:r>
      <w:r w:rsidR="0062750F">
        <w:t xml:space="preserve"> </w:t>
      </w:r>
      <w:r w:rsidR="00AB5837" w:rsidRPr="00125018">
        <w:t xml:space="preserve">2012 yılında bir miktar artan tüketim 1,703 milyon ton </w:t>
      </w:r>
      <w:r w:rsidR="00E1462C">
        <w:t>seviyesine ulaşmış</w:t>
      </w:r>
      <w:r w:rsidR="00EA18AC">
        <w:t>, ancak 2007 ve 2008 yıllarındaki seviyesine ulaşamamıştır.</w:t>
      </w:r>
    </w:p>
    <w:p w:rsidR="009219C0" w:rsidRDefault="009219C0" w:rsidP="002D2AA2">
      <w:pPr>
        <w:ind w:firstLine="708"/>
        <w:jc w:val="both"/>
      </w:pPr>
    </w:p>
    <w:p w:rsidR="005E120F" w:rsidRDefault="00AB5837" w:rsidP="002D2AA2">
      <w:pPr>
        <w:ind w:firstLine="708"/>
        <w:jc w:val="both"/>
      </w:pPr>
      <w:r w:rsidRPr="00125018">
        <w:t xml:space="preserve"> Avrupa’daki kapasitenin ise 2007-2012 döneminde 2009 yılı ha</w:t>
      </w:r>
      <w:r w:rsidR="00E1462C">
        <w:t xml:space="preserve">ricinde </w:t>
      </w:r>
      <w:r w:rsidRPr="00125018">
        <w:t>arttığı ve özellikle 2012 yılında %17,7 oranında artarak 3,703 milyon tona yükseldiği görülmektedir. İç pazarın daraldığı bu dönemde net ihracat 2008 ve 2009 yıllarında düşük seviyelerde seyrederken, tüketimin en düşük noktaya ulaştığı 2010 yılında %920 oranında</w:t>
      </w:r>
      <w:r w:rsidR="00CC4B97">
        <w:t xml:space="preserve"> artarak 735 bin tona yükselmiştir.</w:t>
      </w:r>
      <w:r w:rsidRPr="00125018">
        <w:t xml:space="preserve"> </w:t>
      </w:r>
      <w:r w:rsidR="00CC4B97">
        <w:t xml:space="preserve">Avrupa’nın ihracatının 2011 yılında </w:t>
      </w:r>
      <w:r w:rsidRPr="00125018">
        <w:t>928 bin ton</w:t>
      </w:r>
      <w:r w:rsidR="00CC4B97">
        <w:t>l</w:t>
      </w:r>
      <w:r w:rsidRPr="00125018">
        <w:t xml:space="preserve">a </w:t>
      </w:r>
      <w:r w:rsidR="00CC4B97">
        <w:t>en üst noktaya ulaştığı,</w:t>
      </w:r>
      <w:r w:rsidR="00CC4B97" w:rsidRPr="00125018">
        <w:t xml:space="preserve"> </w:t>
      </w:r>
      <w:r w:rsidR="002D2AA2" w:rsidRPr="00125018">
        <w:t>2012</w:t>
      </w:r>
      <w:r w:rsidRPr="00125018">
        <w:t xml:space="preserve"> yılında ise bir miktar düşüşle 872 bin ton olarak gerçekleştiği görülmektedir.</w:t>
      </w:r>
    </w:p>
    <w:p w:rsidR="005E120F" w:rsidRDefault="005E120F" w:rsidP="002D2AA2">
      <w:pPr>
        <w:ind w:firstLine="708"/>
        <w:jc w:val="both"/>
      </w:pPr>
    </w:p>
    <w:p w:rsidR="002D2AA2" w:rsidRDefault="005E120F" w:rsidP="002D2AA2">
      <w:pPr>
        <w:ind w:firstLine="708"/>
        <w:jc w:val="both"/>
      </w:pPr>
      <w:r>
        <w:t xml:space="preserve">Aşağıdaki tabloda ise PTA’nın da içinde yer aldığı tereftalik asit ve tuzlarının sınıflandırıldığı </w:t>
      </w:r>
      <w:proofErr w:type="gramStart"/>
      <w:r>
        <w:t>2917.36</w:t>
      </w:r>
      <w:proofErr w:type="gramEnd"/>
      <w:r>
        <w:t xml:space="preserve"> armonize sistem kodundan Av</w:t>
      </w:r>
      <w:r w:rsidR="009A48A1">
        <w:t>rupa Birliğinin yaptığı ih</w:t>
      </w:r>
      <w:r w:rsidR="00280DB6">
        <w:t>racatın ülkelere göre dağılımı</w:t>
      </w:r>
      <w:r w:rsidR="009A48A1">
        <w:t xml:space="preserve"> </w:t>
      </w:r>
      <w:r>
        <w:t>yer almaktadır.</w:t>
      </w:r>
      <w:r w:rsidR="00AB5837" w:rsidRPr="00125018">
        <w:t xml:space="preserve"> </w:t>
      </w:r>
    </w:p>
    <w:p w:rsidR="00A72F4E" w:rsidRDefault="00A72F4E" w:rsidP="002D2AA2">
      <w:pPr>
        <w:ind w:firstLine="708"/>
        <w:jc w:val="both"/>
      </w:pPr>
    </w:p>
    <w:tbl>
      <w:tblPr>
        <w:tblW w:w="4962" w:type="pct"/>
        <w:tblBorders>
          <w:top w:val="double" w:sz="4" w:space="0" w:color="auto"/>
          <w:left w:val="double" w:sz="4" w:space="0" w:color="auto"/>
          <w:bottom w:val="double" w:sz="4" w:space="0" w:color="auto"/>
          <w:right w:val="double" w:sz="4" w:space="0" w:color="auto"/>
        </w:tblBorders>
        <w:tblCellMar>
          <w:left w:w="70" w:type="dxa"/>
          <w:right w:w="70" w:type="dxa"/>
        </w:tblCellMar>
        <w:tblLook w:val="04A0" w:firstRow="1" w:lastRow="0" w:firstColumn="1" w:lastColumn="0" w:noHBand="0" w:noVBand="1"/>
      </w:tblPr>
      <w:tblGrid>
        <w:gridCol w:w="2784"/>
        <w:gridCol w:w="1270"/>
        <w:gridCol w:w="1273"/>
        <w:gridCol w:w="1271"/>
        <w:gridCol w:w="1273"/>
        <w:gridCol w:w="1271"/>
      </w:tblGrid>
      <w:tr w:rsidR="009A48A1" w:rsidRPr="00E07A93" w:rsidTr="00036949">
        <w:trPr>
          <w:trHeight w:val="397"/>
          <w:tblHeader/>
        </w:trPr>
        <w:tc>
          <w:tcPr>
            <w:tcW w:w="5000" w:type="pct"/>
            <w:gridSpan w:val="6"/>
            <w:shd w:val="clear" w:color="auto" w:fill="auto"/>
            <w:noWrap/>
            <w:vAlign w:val="center"/>
          </w:tcPr>
          <w:p w:rsidR="009A48A1" w:rsidRPr="009A48A1" w:rsidRDefault="002A6184" w:rsidP="002A6184">
            <w:pPr>
              <w:jc w:val="center"/>
              <w:rPr>
                <w:b/>
              </w:rPr>
            </w:pPr>
            <w:r w:rsidRPr="009A48A1">
              <w:rPr>
                <w:b/>
              </w:rPr>
              <w:lastRenderedPageBreak/>
              <w:t>2917.36</w:t>
            </w:r>
            <w:r>
              <w:rPr>
                <w:b/>
              </w:rPr>
              <w:t>.00</w:t>
            </w:r>
            <w:r w:rsidRPr="009A48A1">
              <w:rPr>
                <w:b/>
              </w:rPr>
              <w:t xml:space="preserve"> </w:t>
            </w:r>
            <w:r>
              <w:rPr>
                <w:b/>
              </w:rPr>
              <w:t xml:space="preserve">- </w:t>
            </w:r>
            <w:r w:rsidR="009A48A1" w:rsidRPr="009A48A1">
              <w:rPr>
                <w:b/>
              </w:rPr>
              <w:t xml:space="preserve">AB İhracatı </w:t>
            </w:r>
            <w:r w:rsidR="00851305">
              <w:rPr>
                <w:b/>
              </w:rPr>
              <w:t xml:space="preserve">(İthalatçı Ülke Bazında) </w:t>
            </w:r>
            <w:r w:rsidR="009A48A1" w:rsidRPr="009A48A1">
              <w:rPr>
                <w:b/>
              </w:rPr>
              <w:t>(Ton)</w:t>
            </w:r>
            <w:r w:rsidR="007F6DE6">
              <w:rPr>
                <w:rStyle w:val="DipnotBavurusu"/>
              </w:rPr>
              <w:t xml:space="preserve"> </w:t>
            </w:r>
            <w:r w:rsidR="007F6DE6">
              <w:rPr>
                <w:rStyle w:val="DipnotBavurusu"/>
              </w:rPr>
              <w:footnoteReference w:id="12"/>
            </w:r>
            <w:r w:rsidR="007F6DE6">
              <w:t xml:space="preserve">  </w:t>
            </w:r>
          </w:p>
        </w:tc>
      </w:tr>
      <w:tr w:rsidR="00150318" w:rsidRPr="00E07A93" w:rsidTr="00150318">
        <w:trPr>
          <w:trHeight w:val="285"/>
          <w:tblHeader/>
        </w:trPr>
        <w:tc>
          <w:tcPr>
            <w:tcW w:w="1523" w:type="pct"/>
            <w:shd w:val="clear" w:color="auto" w:fill="auto"/>
            <w:noWrap/>
            <w:vAlign w:val="bottom"/>
            <w:hideMark/>
          </w:tcPr>
          <w:p w:rsidR="00036949" w:rsidRPr="00E07A93" w:rsidRDefault="00036949" w:rsidP="00E07A93">
            <w:r w:rsidRPr="00E07A93">
              <w:t>Ülke/Dönem</w:t>
            </w:r>
          </w:p>
        </w:tc>
        <w:tc>
          <w:tcPr>
            <w:tcW w:w="695" w:type="pct"/>
            <w:shd w:val="clear" w:color="auto" w:fill="auto"/>
            <w:noWrap/>
            <w:vAlign w:val="bottom"/>
            <w:hideMark/>
          </w:tcPr>
          <w:p w:rsidR="00036949" w:rsidRPr="00E07A93" w:rsidRDefault="00036949" w:rsidP="00150318">
            <w:pPr>
              <w:jc w:val="right"/>
            </w:pPr>
            <w:r w:rsidRPr="00E07A93">
              <w:t>2008</w:t>
            </w:r>
          </w:p>
        </w:tc>
        <w:tc>
          <w:tcPr>
            <w:tcW w:w="696" w:type="pct"/>
            <w:shd w:val="clear" w:color="auto" w:fill="auto"/>
            <w:noWrap/>
            <w:vAlign w:val="bottom"/>
            <w:hideMark/>
          </w:tcPr>
          <w:p w:rsidR="00036949" w:rsidRPr="00E07A93" w:rsidRDefault="00036949" w:rsidP="00150318">
            <w:pPr>
              <w:jc w:val="right"/>
            </w:pPr>
            <w:r w:rsidRPr="00E07A93">
              <w:t>2009</w:t>
            </w:r>
          </w:p>
        </w:tc>
        <w:tc>
          <w:tcPr>
            <w:tcW w:w="695" w:type="pct"/>
            <w:shd w:val="clear" w:color="auto" w:fill="auto"/>
            <w:noWrap/>
            <w:vAlign w:val="bottom"/>
            <w:hideMark/>
          </w:tcPr>
          <w:p w:rsidR="00036949" w:rsidRPr="00E07A93" w:rsidRDefault="00036949" w:rsidP="00150318">
            <w:pPr>
              <w:jc w:val="right"/>
            </w:pPr>
            <w:r w:rsidRPr="00E07A93">
              <w:t>2010</w:t>
            </w:r>
          </w:p>
        </w:tc>
        <w:tc>
          <w:tcPr>
            <w:tcW w:w="696" w:type="pct"/>
            <w:shd w:val="clear" w:color="auto" w:fill="auto"/>
            <w:noWrap/>
            <w:vAlign w:val="bottom"/>
            <w:hideMark/>
          </w:tcPr>
          <w:p w:rsidR="00036949" w:rsidRPr="00E07A93" w:rsidRDefault="00036949" w:rsidP="00150318">
            <w:pPr>
              <w:jc w:val="right"/>
            </w:pPr>
            <w:r w:rsidRPr="00E07A93">
              <w:t>2011</w:t>
            </w:r>
          </w:p>
        </w:tc>
        <w:tc>
          <w:tcPr>
            <w:tcW w:w="696" w:type="pct"/>
            <w:shd w:val="clear" w:color="auto" w:fill="auto"/>
            <w:noWrap/>
            <w:vAlign w:val="bottom"/>
            <w:hideMark/>
          </w:tcPr>
          <w:p w:rsidR="00036949" w:rsidRPr="00E07A93" w:rsidRDefault="00036949" w:rsidP="00150318">
            <w:pPr>
              <w:jc w:val="right"/>
            </w:pPr>
            <w:r w:rsidRPr="00E07A93">
              <w:t>2012</w:t>
            </w:r>
          </w:p>
        </w:tc>
      </w:tr>
      <w:tr w:rsidR="00150318" w:rsidRPr="00E07A93" w:rsidTr="00150318">
        <w:trPr>
          <w:trHeight w:val="285"/>
        </w:trPr>
        <w:tc>
          <w:tcPr>
            <w:tcW w:w="1523" w:type="pct"/>
            <w:shd w:val="clear" w:color="auto" w:fill="auto"/>
            <w:noWrap/>
            <w:vAlign w:val="bottom"/>
            <w:hideMark/>
          </w:tcPr>
          <w:p w:rsidR="00036949" w:rsidRPr="00E07A93" w:rsidRDefault="00036949" w:rsidP="005B32D9">
            <w:pPr>
              <w:rPr>
                <w:bCs/>
                <w:i/>
                <w:iCs/>
              </w:rPr>
            </w:pPr>
            <w:r w:rsidRPr="009A48A1">
              <w:rPr>
                <w:bCs/>
                <w:i/>
                <w:iCs/>
              </w:rPr>
              <w:t>AB-</w:t>
            </w:r>
            <w:r w:rsidRPr="00E07A93">
              <w:rPr>
                <w:bCs/>
                <w:i/>
                <w:iCs/>
              </w:rPr>
              <w:t xml:space="preserve">27 </w:t>
            </w:r>
            <w:r w:rsidRPr="009A48A1">
              <w:rPr>
                <w:bCs/>
                <w:i/>
                <w:iCs/>
              </w:rPr>
              <w:t>Toplam İhracat</w:t>
            </w:r>
          </w:p>
        </w:tc>
        <w:tc>
          <w:tcPr>
            <w:tcW w:w="695" w:type="pct"/>
            <w:shd w:val="clear" w:color="auto" w:fill="auto"/>
            <w:noWrap/>
            <w:vAlign w:val="bottom"/>
            <w:hideMark/>
          </w:tcPr>
          <w:p w:rsidR="00036949" w:rsidRPr="00E07A93" w:rsidRDefault="00036949" w:rsidP="00150318">
            <w:pPr>
              <w:jc w:val="right"/>
              <w:rPr>
                <w:bCs/>
                <w:i/>
                <w:iCs/>
              </w:rPr>
            </w:pPr>
            <w:r w:rsidRPr="00E07A93">
              <w:rPr>
                <w:bCs/>
                <w:i/>
                <w:iCs/>
              </w:rPr>
              <w:t>59.302</w:t>
            </w:r>
          </w:p>
        </w:tc>
        <w:tc>
          <w:tcPr>
            <w:tcW w:w="696" w:type="pct"/>
            <w:shd w:val="clear" w:color="auto" w:fill="auto"/>
            <w:noWrap/>
            <w:vAlign w:val="bottom"/>
            <w:hideMark/>
          </w:tcPr>
          <w:p w:rsidR="00036949" w:rsidRPr="00E07A93" w:rsidRDefault="00036949" w:rsidP="00150318">
            <w:pPr>
              <w:jc w:val="right"/>
              <w:rPr>
                <w:bCs/>
                <w:i/>
                <w:iCs/>
              </w:rPr>
            </w:pPr>
            <w:r w:rsidRPr="00E07A93">
              <w:rPr>
                <w:bCs/>
                <w:i/>
                <w:iCs/>
              </w:rPr>
              <w:t>42.355</w:t>
            </w:r>
          </w:p>
        </w:tc>
        <w:tc>
          <w:tcPr>
            <w:tcW w:w="695" w:type="pct"/>
            <w:shd w:val="clear" w:color="auto" w:fill="auto"/>
            <w:noWrap/>
            <w:vAlign w:val="bottom"/>
            <w:hideMark/>
          </w:tcPr>
          <w:p w:rsidR="00036949" w:rsidRPr="00E07A93" w:rsidRDefault="00036949" w:rsidP="00150318">
            <w:pPr>
              <w:jc w:val="right"/>
              <w:rPr>
                <w:bCs/>
                <w:i/>
                <w:iCs/>
              </w:rPr>
            </w:pPr>
            <w:r w:rsidRPr="00E07A93">
              <w:rPr>
                <w:bCs/>
                <w:i/>
                <w:iCs/>
              </w:rPr>
              <w:t>101.869</w:t>
            </w:r>
          </w:p>
        </w:tc>
        <w:tc>
          <w:tcPr>
            <w:tcW w:w="696" w:type="pct"/>
            <w:shd w:val="clear" w:color="auto" w:fill="auto"/>
            <w:noWrap/>
            <w:vAlign w:val="bottom"/>
            <w:hideMark/>
          </w:tcPr>
          <w:p w:rsidR="00036949" w:rsidRPr="00E07A93" w:rsidRDefault="00036949" w:rsidP="00150318">
            <w:pPr>
              <w:jc w:val="right"/>
              <w:rPr>
                <w:bCs/>
                <w:i/>
                <w:iCs/>
              </w:rPr>
            </w:pPr>
            <w:r w:rsidRPr="00E07A93">
              <w:rPr>
                <w:bCs/>
                <w:i/>
                <w:iCs/>
              </w:rPr>
              <w:t>358.363</w:t>
            </w:r>
          </w:p>
        </w:tc>
        <w:tc>
          <w:tcPr>
            <w:tcW w:w="696" w:type="pct"/>
            <w:shd w:val="clear" w:color="auto" w:fill="auto"/>
            <w:noWrap/>
            <w:vAlign w:val="bottom"/>
            <w:hideMark/>
          </w:tcPr>
          <w:p w:rsidR="00036949" w:rsidRPr="00E07A93" w:rsidRDefault="00036949" w:rsidP="00150318">
            <w:pPr>
              <w:jc w:val="right"/>
              <w:rPr>
                <w:bCs/>
                <w:i/>
                <w:iCs/>
              </w:rPr>
            </w:pPr>
            <w:r w:rsidRPr="00E07A93">
              <w:rPr>
                <w:bCs/>
                <w:i/>
                <w:iCs/>
              </w:rPr>
              <w:t>726.816</w:t>
            </w:r>
          </w:p>
        </w:tc>
      </w:tr>
      <w:tr w:rsidR="00150318" w:rsidRPr="00E07A93" w:rsidTr="00150318">
        <w:trPr>
          <w:trHeight w:val="285"/>
        </w:trPr>
        <w:tc>
          <w:tcPr>
            <w:tcW w:w="1523" w:type="pct"/>
            <w:shd w:val="clear" w:color="auto" w:fill="auto"/>
            <w:noWrap/>
            <w:vAlign w:val="bottom"/>
            <w:hideMark/>
          </w:tcPr>
          <w:p w:rsidR="00036949" w:rsidRPr="00E07A93" w:rsidRDefault="00036949" w:rsidP="00E07A93">
            <w:r w:rsidRPr="00E07A93">
              <w:t>Oman</w:t>
            </w:r>
          </w:p>
        </w:tc>
        <w:tc>
          <w:tcPr>
            <w:tcW w:w="695" w:type="pct"/>
            <w:shd w:val="clear" w:color="auto" w:fill="auto"/>
            <w:noWrap/>
            <w:vAlign w:val="bottom"/>
            <w:hideMark/>
          </w:tcPr>
          <w:p w:rsidR="00036949" w:rsidRPr="00E07A93" w:rsidRDefault="00036949" w:rsidP="00150318">
            <w:pPr>
              <w:jc w:val="right"/>
            </w:pPr>
          </w:p>
        </w:tc>
        <w:tc>
          <w:tcPr>
            <w:tcW w:w="696" w:type="pct"/>
            <w:shd w:val="clear" w:color="auto" w:fill="auto"/>
            <w:noWrap/>
            <w:vAlign w:val="bottom"/>
            <w:hideMark/>
          </w:tcPr>
          <w:p w:rsidR="00036949" w:rsidRPr="00E07A93" w:rsidRDefault="00036949" w:rsidP="00150318">
            <w:pPr>
              <w:jc w:val="right"/>
            </w:pPr>
          </w:p>
        </w:tc>
        <w:tc>
          <w:tcPr>
            <w:tcW w:w="695" w:type="pct"/>
            <w:shd w:val="clear" w:color="auto" w:fill="auto"/>
            <w:noWrap/>
            <w:vAlign w:val="bottom"/>
            <w:hideMark/>
          </w:tcPr>
          <w:p w:rsidR="00036949" w:rsidRPr="00E07A93" w:rsidRDefault="00036949" w:rsidP="00150318">
            <w:pPr>
              <w:jc w:val="right"/>
            </w:pPr>
          </w:p>
        </w:tc>
        <w:tc>
          <w:tcPr>
            <w:tcW w:w="696" w:type="pct"/>
            <w:shd w:val="clear" w:color="auto" w:fill="auto"/>
            <w:noWrap/>
            <w:vAlign w:val="bottom"/>
            <w:hideMark/>
          </w:tcPr>
          <w:p w:rsidR="00036949" w:rsidRPr="00E07A93" w:rsidRDefault="00036949" w:rsidP="00150318">
            <w:pPr>
              <w:jc w:val="right"/>
            </w:pPr>
            <w:r w:rsidRPr="00E07A93">
              <w:t>41.933</w:t>
            </w:r>
          </w:p>
        </w:tc>
        <w:tc>
          <w:tcPr>
            <w:tcW w:w="696" w:type="pct"/>
            <w:shd w:val="clear" w:color="auto" w:fill="auto"/>
            <w:noWrap/>
            <w:vAlign w:val="bottom"/>
            <w:hideMark/>
          </w:tcPr>
          <w:p w:rsidR="00036949" w:rsidRPr="00E07A93" w:rsidRDefault="00036949" w:rsidP="00150318">
            <w:pPr>
              <w:jc w:val="right"/>
            </w:pPr>
            <w:r w:rsidRPr="00E07A93">
              <w:t>236.930</w:t>
            </w:r>
          </w:p>
        </w:tc>
      </w:tr>
      <w:tr w:rsidR="00150318" w:rsidRPr="00E07A93" w:rsidTr="00150318">
        <w:trPr>
          <w:trHeight w:val="285"/>
        </w:trPr>
        <w:tc>
          <w:tcPr>
            <w:tcW w:w="1523" w:type="pct"/>
            <w:shd w:val="clear" w:color="auto" w:fill="auto"/>
            <w:noWrap/>
            <w:vAlign w:val="bottom"/>
            <w:hideMark/>
          </w:tcPr>
          <w:p w:rsidR="00036949" w:rsidRPr="00E07A93" w:rsidRDefault="00036949" w:rsidP="00E07A93">
            <w:pPr>
              <w:rPr>
                <w:i/>
              </w:rPr>
            </w:pPr>
            <w:r w:rsidRPr="00E07A93">
              <w:rPr>
                <w:i/>
              </w:rPr>
              <w:t>Türkiye</w:t>
            </w:r>
          </w:p>
        </w:tc>
        <w:tc>
          <w:tcPr>
            <w:tcW w:w="695" w:type="pct"/>
            <w:shd w:val="clear" w:color="auto" w:fill="auto"/>
            <w:noWrap/>
            <w:vAlign w:val="bottom"/>
            <w:hideMark/>
          </w:tcPr>
          <w:p w:rsidR="00036949" w:rsidRPr="00E07A93" w:rsidRDefault="00036949" w:rsidP="00150318">
            <w:pPr>
              <w:jc w:val="right"/>
              <w:rPr>
                <w:i/>
              </w:rPr>
            </w:pPr>
            <w:r w:rsidRPr="00E07A93">
              <w:rPr>
                <w:i/>
              </w:rPr>
              <w:t>37.988</w:t>
            </w:r>
          </w:p>
        </w:tc>
        <w:tc>
          <w:tcPr>
            <w:tcW w:w="696" w:type="pct"/>
            <w:shd w:val="clear" w:color="auto" w:fill="auto"/>
            <w:noWrap/>
            <w:vAlign w:val="bottom"/>
            <w:hideMark/>
          </w:tcPr>
          <w:p w:rsidR="00036949" w:rsidRPr="00E07A93" w:rsidRDefault="00036949" w:rsidP="00150318">
            <w:pPr>
              <w:jc w:val="right"/>
              <w:rPr>
                <w:i/>
              </w:rPr>
            </w:pPr>
            <w:r w:rsidRPr="00E07A93">
              <w:rPr>
                <w:i/>
              </w:rPr>
              <w:t>40.218</w:t>
            </w:r>
          </w:p>
        </w:tc>
        <w:tc>
          <w:tcPr>
            <w:tcW w:w="695" w:type="pct"/>
            <w:shd w:val="clear" w:color="auto" w:fill="auto"/>
            <w:noWrap/>
            <w:vAlign w:val="bottom"/>
            <w:hideMark/>
          </w:tcPr>
          <w:p w:rsidR="00036949" w:rsidRPr="00E07A93" w:rsidRDefault="00036949" w:rsidP="00150318">
            <w:pPr>
              <w:jc w:val="right"/>
              <w:rPr>
                <w:i/>
              </w:rPr>
            </w:pPr>
            <w:r w:rsidRPr="00E07A93">
              <w:rPr>
                <w:i/>
              </w:rPr>
              <w:t>56.339</w:t>
            </w:r>
          </w:p>
        </w:tc>
        <w:tc>
          <w:tcPr>
            <w:tcW w:w="696" w:type="pct"/>
            <w:shd w:val="clear" w:color="auto" w:fill="auto"/>
            <w:noWrap/>
            <w:vAlign w:val="bottom"/>
            <w:hideMark/>
          </w:tcPr>
          <w:p w:rsidR="00036949" w:rsidRPr="00E07A93" w:rsidRDefault="00036949" w:rsidP="00150318">
            <w:pPr>
              <w:jc w:val="right"/>
              <w:rPr>
                <w:i/>
              </w:rPr>
            </w:pPr>
            <w:r w:rsidRPr="00E07A93">
              <w:rPr>
                <w:i/>
              </w:rPr>
              <w:t>144.953</w:t>
            </w:r>
          </w:p>
        </w:tc>
        <w:tc>
          <w:tcPr>
            <w:tcW w:w="696" w:type="pct"/>
            <w:shd w:val="clear" w:color="auto" w:fill="auto"/>
            <w:noWrap/>
            <w:vAlign w:val="bottom"/>
            <w:hideMark/>
          </w:tcPr>
          <w:p w:rsidR="00036949" w:rsidRPr="00E07A93" w:rsidRDefault="00036949" w:rsidP="00150318">
            <w:pPr>
              <w:jc w:val="right"/>
              <w:rPr>
                <w:i/>
              </w:rPr>
            </w:pPr>
            <w:r w:rsidRPr="00E07A93">
              <w:rPr>
                <w:i/>
              </w:rPr>
              <w:t>211.862</w:t>
            </w:r>
          </w:p>
        </w:tc>
      </w:tr>
      <w:tr w:rsidR="00150318" w:rsidRPr="00E07A93" w:rsidTr="00150318">
        <w:trPr>
          <w:trHeight w:val="285"/>
        </w:trPr>
        <w:tc>
          <w:tcPr>
            <w:tcW w:w="1523" w:type="pct"/>
            <w:shd w:val="clear" w:color="auto" w:fill="auto"/>
            <w:noWrap/>
            <w:vAlign w:val="bottom"/>
            <w:hideMark/>
          </w:tcPr>
          <w:p w:rsidR="00036949" w:rsidRPr="00E07A93" w:rsidRDefault="00036949" w:rsidP="00E07A93">
            <w:r w:rsidRPr="00E07A93">
              <w:t>Rusya</w:t>
            </w:r>
          </w:p>
        </w:tc>
        <w:tc>
          <w:tcPr>
            <w:tcW w:w="695" w:type="pct"/>
            <w:shd w:val="clear" w:color="auto" w:fill="auto"/>
            <w:noWrap/>
            <w:vAlign w:val="bottom"/>
            <w:hideMark/>
          </w:tcPr>
          <w:p w:rsidR="00036949" w:rsidRPr="00E07A93" w:rsidRDefault="00036949" w:rsidP="00150318">
            <w:pPr>
              <w:jc w:val="right"/>
            </w:pPr>
          </w:p>
        </w:tc>
        <w:tc>
          <w:tcPr>
            <w:tcW w:w="696" w:type="pct"/>
            <w:shd w:val="clear" w:color="auto" w:fill="auto"/>
            <w:noWrap/>
            <w:vAlign w:val="bottom"/>
            <w:hideMark/>
          </w:tcPr>
          <w:p w:rsidR="00036949" w:rsidRPr="00E07A93" w:rsidRDefault="00036949" w:rsidP="00150318">
            <w:pPr>
              <w:jc w:val="right"/>
            </w:pPr>
          </w:p>
        </w:tc>
        <w:tc>
          <w:tcPr>
            <w:tcW w:w="695" w:type="pct"/>
            <w:shd w:val="clear" w:color="auto" w:fill="auto"/>
            <w:noWrap/>
            <w:vAlign w:val="bottom"/>
            <w:hideMark/>
          </w:tcPr>
          <w:p w:rsidR="00036949" w:rsidRPr="00E07A93" w:rsidRDefault="00036949" w:rsidP="00150318">
            <w:pPr>
              <w:jc w:val="right"/>
            </w:pPr>
            <w:r w:rsidRPr="00E07A93">
              <w:t>4.026</w:t>
            </w:r>
          </w:p>
        </w:tc>
        <w:tc>
          <w:tcPr>
            <w:tcW w:w="696" w:type="pct"/>
            <w:shd w:val="clear" w:color="auto" w:fill="auto"/>
            <w:noWrap/>
            <w:vAlign w:val="bottom"/>
            <w:hideMark/>
          </w:tcPr>
          <w:p w:rsidR="00036949" w:rsidRPr="00E07A93" w:rsidRDefault="00036949" w:rsidP="00150318">
            <w:pPr>
              <w:jc w:val="right"/>
            </w:pPr>
            <w:r w:rsidRPr="00E07A93">
              <w:t>35.820</w:t>
            </w:r>
          </w:p>
        </w:tc>
        <w:tc>
          <w:tcPr>
            <w:tcW w:w="696" w:type="pct"/>
            <w:shd w:val="clear" w:color="auto" w:fill="auto"/>
            <w:noWrap/>
            <w:vAlign w:val="bottom"/>
            <w:hideMark/>
          </w:tcPr>
          <w:p w:rsidR="00036949" w:rsidRPr="00E07A93" w:rsidRDefault="00036949" w:rsidP="00150318">
            <w:pPr>
              <w:jc w:val="right"/>
            </w:pPr>
            <w:r w:rsidRPr="00E07A93">
              <w:t>114.634</w:t>
            </w:r>
          </w:p>
        </w:tc>
      </w:tr>
      <w:tr w:rsidR="00150318" w:rsidRPr="00E07A93" w:rsidTr="00150318">
        <w:trPr>
          <w:trHeight w:val="285"/>
        </w:trPr>
        <w:tc>
          <w:tcPr>
            <w:tcW w:w="1523" w:type="pct"/>
            <w:shd w:val="clear" w:color="auto" w:fill="auto"/>
            <w:noWrap/>
            <w:vAlign w:val="bottom"/>
            <w:hideMark/>
          </w:tcPr>
          <w:p w:rsidR="00036949" w:rsidRPr="00E07A93" w:rsidRDefault="00036949" w:rsidP="00E07A93">
            <w:r w:rsidRPr="00E07A93">
              <w:t>Birleşik Arap Emirlikleri</w:t>
            </w:r>
          </w:p>
        </w:tc>
        <w:tc>
          <w:tcPr>
            <w:tcW w:w="695" w:type="pct"/>
            <w:shd w:val="clear" w:color="auto" w:fill="auto"/>
            <w:noWrap/>
            <w:vAlign w:val="bottom"/>
            <w:hideMark/>
          </w:tcPr>
          <w:p w:rsidR="00036949" w:rsidRPr="00E07A93" w:rsidRDefault="00036949" w:rsidP="00150318">
            <w:pPr>
              <w:jc w:val="right"/>
            </w:pPr>
            <w:r w:rsidRPr="00E07A93">
              <w:t>35</w:t>
            </w:r>
          </w:p>
        </w:tc>
        <w:tc>
          <w:tcPr>
            <w:tcW w:w="696" w:type="pct"/>
            <w:shd w:val="clear" w:color="auto" w:fill="auto"/>
            <w:noWrap/>
            <w:vAlign w:val="bottom"/>
            <w:hideMark/>
          </w:tcPr>
          <w:p w:rsidR="00036949" w:rsidRPr="00E07A93" w:rsidRDefault="00036949" w:rsidP="00150318">
            <w:pPr>
              <w:jc w:val="right"/>
            </w:pPr>
          </w:p>
        </w:tc>
        <w:tc>
          <w:tcPr>
            <w:tcW w:w="695" w:type="pct"/>
            <w:shd w:val="clear" w:color="auto" w:fill="auto"/>
            <w:noWrap/>
            <w:vAlign w:val="bottom"/>
            <w:hideMark/>
          </w:tcPr>
          <w:p w:rsidR="00036949" w:rsidRPr="00E07A93" w:rsidRDefault="00036949" w:rsidP="00150318">
            <w:pPr>
              <w:jc w:val="right"/>
            </w:pPr>
          </w:p>
        </w:tc>
        <w:tc>
          <w:tcPr>
            <w:tcW w:w="696" w:type="pct"/>
            <w:shd w:val="clear" w:color="auto" w:fill="auto"/>
            <w:noWrap/>
            <w:vAlign w:val="bottom"/>
            <w:hideMark/>
          </w:tcPr>
          <w:p w:rsidR="00036949" w:rsidRPr="00E07A93" w:rsidRDefault="00036949" w:rsidP="00150318">
            <w:pPr>
              <w:jc w:val="right"/>
            </w:pPr>
            <w:r w:rsidRPr="00E07A93">
              <w:t>17.016</w:t>
            </w:r>
          </w:p>
        </w:tc>
        <w:tc>
          <w:tcPr>
            <w:tcW w:w="696" w:type="pct"/>
            <w:shd w:val="clear" w:color="auto" w:fill="auto"/>
            <w:noWrap/>
            <w:vAlign w:val="bottom"/>
            <w:hideMark/>
          </w:tcPr>
          <w:p w:rsidR="00036949" w:rsidRPr="00E07A93" w:rsidRDefault="00036949" w:rsidP="00150318">
            <w:pPr>
              <w:jc w:val="right"/>
            </w:pPr>
            <w:r w:rsidRPr="00E07A93">
              <w:t>75.290</w:t>
            </w:r>
          </w:p>
        </w:tc>
      </w:tr>
      <w:tr w:rsidR="00150318" w:rsidRPr="00E07A93" w:rsidTr="00150318">
        <w:trPr>
          <w:trHeight w:val="285"/>
        </w:trPr>
        <w:tc>
          <w:tcPr>
            <w:tcW w:w="1523" w:type="pct"/>
            <w:shd w:val="clear" w:color="auto" w:fill="auto"/>
            <w:noWrap/>
            <w:vAlign w:val="bottom"/>
            <w:hideMark/>
          </w:tcPr>
          <w:p w:rsidR="008B3908" w:rsidRPr="00E07A93" w:rsidRDefault="008B3908" w:rsidP="00E07A93">
            <w:r>
              <w:t>Çin</w:t>
            </w:r>
          </w:p>
        </w:tc>
        <w:tc>
          <w:tcPr>
            <w:tcW w:w="695" w:type="pct"/>
            <w:shd w:val="clear" w:color="auto" w:fill="auto"/>
            <w:noWrap/>
            <w:vAlign w:val="bottom"/>
            <w:hideMark/>
          </w:tcPr>
          <w:p w:rsidR="00036949" w:rsidRPr="00E07A93" w:rsidRDefault="00036949" w:rsidP="00150318">
            <w:pPr>
              <w:jc w:val="right"/>
            </w:pPr>
          </w:p>
        </w:tc>
        <w:tc>
          <w:tcPr>
            <w:tcW w:w="696" w:type="pct"/>
            <w:shd w:val="clear" w:color="auto" w:fill="auto"/>
            <w:noWrap/>
            <w:vAlign w:val="bottom"/>
            <w:hideMark/>
          </w:tcPr>
          <w:p w:rsidR="00036949" w:rsidRPr="00E07A93" w:rsidRDefault="00036949" w:rsidP="00150318">
            <w:pPr>
              <w:jc w:val="right"/>
            </w:pPr>
            <w:r w:rsidRPr="00E07A93">
              <w:t>43</w:t>
            </w:r>
          </w:p>
        </w:tc>
        <w:tc>
          <w:tcPr>
            <w:tcW w:w="695" w:type="pct"/>
            <w:shd w:val="clear" w:color="auto" w:fill="auto"/>
            <w:noWrap/>
            <w:vAlign w:val="bottom"/>
            <w:hideMark/>
          </w:tcPr>
          <w:p w:rsidR="00036949" w:rsidRPr="00E07A93" w:rsidRDefault="00036949" w:rsidP="00150318">
            <w:pPr>
              <w:jc w:val="right"/>
            </w:pPr>
            <w:r w:rsidRPr="00E07A93">
              <w:t>24</w:t>
            </w:r>
          </w:p>
        </w:tc>
        <w:tc>
          <w:tcPr>
            <w:tcW w:w="696" w:type="pct"/>
            <w:shd w:val="clear" w:color="auto" w:fill="auto"/>
            <w:noWrap/>
            <w:vAlign w:val="bottom"/>
            <w:hideMark/>
          </w:tcPr>
          <w:p w:rsidR="00036949" w:rsidRPr="00E07A93" w:rsidRDefault="00036949" w:rsidP="00150318">
            <w:pPr>
              <w:jc w:val="right"/>
            </w:pPr>
            <w:r w:rsidRPr="00E07A93">
              <w:t>27.039</w:t>
            </w:r>
          </w:p>
        </w:tc>
        <w:tc>
          <w:tcPr>
            <w:tcW w:w="696" w:type="pct"/>
            <w:shd w:val="clear" w:color="auto" w:fill="auto"/>
            <w:noWrap/>
            <w:vAlign w:val="bottom"/>
            <w:hideMark/>
          </w:tcPr>
          <w:p w:rsidR="00036949" w:rsidRPr="00E07A93" w:rsidRDefault="00036949" w:rsidP="00150318">
            <w:pPr>
              <w:jc w:val="right"/>
            </w:pPr>
            <w:r w:rsidRPr="00E07A93">
              <w:t>23.010</w:t>
            </w:r>
          </w:p>
        </w:tc>
      </w:tr>
      <w:tr w:rsidR="00150318" w:rsidRPr="00E07A93" w:rsidTr="00150318">
        <w:trPr>
          <w:trHeight w:val="285"/>
        </w:trPr>
        <w:tc>
          <w:tcPr>
            <w:tcW w:w="1523" w:type="pct"/>
            <w:shd w:val="clear" w:color="auto" w:fill="auto"/>
            <w:noWrap/>
            <w:vAlign w:val="bottom"/>
            <w:hideMark/>
          </w:tcPr>
          <w:p w:rsidR="00036949" w:rsidRPr="00E07A93" w:rsidRDefault="00036949" w:rsidP="00E07A93">
            <w:proofErr w:type="spellStart"/>
            <w:r w:rsidRPr="00E07A93">
              <w:t>Belarus</w:t>
            </w:r>
            <w:proofErr w:type="spellEnd"/>
          </w:p>
        </w:tc>
        <w:tc>
          <w:tcPr>
            <w:tcW w:w="695" w:type="pct"/>
            <w:shd w:val="clear" w:color="auto" w:fill="auto"/>
            <w:noWrap/>
            <w:vAlign w:val="bottom"/>
            <w:hideMark/>
          </w:tcPr>
          <w:p w:rsidR="00036949" w:rsidRPr="00E07A93" w:rsidRDefault="00036949" w:rsidP="00150318">
            <w:pPr>
              <w:jc w:val="right"/>
            </w:pPr>
          </w:p>
        </w:tc>
        <w:tc>
          <w:tcPr>
            <w:tcW w:w="696" w:type="pct"/>
            <w:shd w:val="clear" w:color="auto" w:fill="auto"/>
            <w:noWrap/>
            <w:vAlign w:val="bottom"/>
            <w:hideMark/>
          </w:tcPr>
          <w:p w:rsidR="00036949" w:rsidRPr="00E07A93" w:rsidRDefault="00036949" w:rsidP="00150318">
            <w:pPr>
              <w:jc w:val="right"/>
            </w:pPr>
            <w:r w:rsidRPr="00E07A93">
              <w:t>1.560</w:t>
            </w:r>
          </w:p>
        </w:tc>
        <w:tc>
          <w:tcPr>
            <w:tcW w:w="695" w:type="pct"/>
            <w:shd w:val="clear" w:color="auto" w:fill="auto"/>
            <w:noWrap/>
            <w:vAlign w:val="bottom"/>
            <w:hideMark/>
          </w:tcPr>
          <w:p w:rsidR="00036949" w:rsidRPr="00E07A93" w:rsidRDefault="00036949" w:rsidP="00150318">
            <w:pPr>
              <w:jc w:val="right"/>
            </w:pPr>
            <w:r w:rsidRPr="00E07A93">
              <w:t>33.626</w:t>
            </w:r>
          </w:p>
        </w:tc>
        <w:tc>
          <w:tcPr>
            <w:tcW w:w="696" w:type="pct"/>
            <w:shd w:val="clear" w:color="auto" w:fill="auto"/>
            <w:noWrap/>
            <w:vAlign w:val="bottom"/>
            <w:hideMark/>
          </w:tcPr>
          <w:p w:rsidR="00036949" w:rsidRPr="00E07A93" w:rsidRDefault="00036949" w:rsidP="00150318">
            <w:pPr>
              <w:jc w:val="right"/>
            </w:pPr>
            <w:r w:rsidRPr="00E07A93">
              <w:t>15.808</w:t>
            </w:r>
          </w:p>
        </w:tc>
        <w:tc>
          <w:tcPr>
            <w:tcW w:w="696" w:type="pct"/>
            <w:shd w:val="clear" w:color="auto" w:fill="auto"/>
            <w:noWrap/>
            <w:vAlign w:val="bottom"/>
            <w:hideMark/>
          </w:tcPr>
          <w:p w:rsidR="00036949" w:rsidRPr="00E07A93" w:rsidRDefault="00036949" w:rsidP="00150318">
            <w:pPr>
              <w:jc w:val="right"/>
            </w:pPr>
            <w:r w:rsidRPr="00E07A93">
              <w:t>22.427</w:t>
            </w:r>
          </w:p>
        </w:tc>
      </w:tr>
      <w:tr w:rsidR="00150318" w:rsidRPr="00E07A93" w:rsidTr="00150318">
        <w:trPr>
          <w:trHeight w:val="285"/>
        </w:trPr>
        <w:tc>
          <w:tcPr>
            <w:tcW w:w="1523" w:type="pct"/>
            <w:shd w:val="clear" w:color="auto" w:fill="auto"/>
            <w:noWrap/>
            <w:vAlign w:val="bottom"/>
            <w:hideMark/>
          </w:tcPr>
          <w:p w:rsidR="00036949" w:rsidRPr="00E07A93" w:rsidRDefault="00036949" w:rsidP="00E07A93">
            <w:r w:rsidRPr="00E07A93">
              <w:t>Hindistan</w:t>
            </w:r>
          </w:p>
        </w:tc>
        <w:tc>
          <w:tcPr>
            <w:tcW w:w="695" w:type="pct"/>
            <w:shd w:val="clear" w:color="auto" w:fill="auto"/>
            <w:noWrap/>
            <w:vAlign w:val="bottom"/>
            <w:hideMark/>
          </w:tcPr>
          <w:p w:rsidR="00036949" w:rsidRPr="00E07A93" w:rsidRDefault="00036949" w:rsidP="00150318">
            <w:pPr>
              <w:jc w:val="right"/>
            </w:pPr>
          </w:p>
        </w:tc>
        <w:tc>
          <w:tcPr>
            <w:tcW w:w="696" w:type="pct"/>
            <w:shd w:val="clear" w:color="auto" w:fill="auto"/>
            <w:noWrap/>
            <w:vAlign w:val="bottom"/>
            <w:hideMark/>
          </w:tcPr>
          <w:p w:rsidR="00036949" w:rsidRPr="00E07A93" w:rsidRDefault="00036949" w:rsidP="00150318">
            <w:pPr>
              <w:jc w:val="right"/>
            </w:pPr>
            <w:r w:rsidRPr="00E07A93">
              <w:t>0</w:t>
            </w:r>
          </w:p>
        </w:tc>
        <w:tc>
          <w:tcPr>
            <w:tcW w:w="695" w:type="pct"/>
            <w:shd w:val="clear" w:color="auto" w:fill="auto"/>
            <w:noWrap/>
            <w:vAlign w:val="bottom"/>
            <w:hideMark/>
          </w:tcPr>
          <w:p w:rsidR="00036949" w:rsidRPr="00E07A93" w:rsidRDefault="00036949" w:rsidP="00150318">
            <w:pPr>
              <w:jc w:val="right"/>
            </w:pPr>
            <w:r w:rsidRPr="00E07A93">
              <w:t>0</w:t>
            </w:r>
          </w:p>
        </w:tc>
        <w:tc>
          <w:tcPr>
            <w:tcW w:w="696" w:type="pct"/>
            <w:shd w:val="clear" w:color="auto" w:fill="auto"/>
            <w:noWrap/>
            <w:vAlign w:val="bottom"/>
            <w:hideMark/>
          </w:tcPr>
          <w:p w:rsidR="00036949" w:rsidRPr="00E07A93" w:rsidRDefault="00036949" w:rsidP="00150318">
            <w:pPr>
              <w:jc w:val="right"/>
            </w:pPr>
            <w:r w:rsidRPr="00E07A93">
              <w:t>2.024</w:t>
            </w:r>
          </w:p>
        </w:tc>
        <w:tc>
          <w:tcPr>
            <w:tcW w:w="696" w:type="pct"/>
            <w:shd w:val="clear" w:color="auto" w:fill="auto"/>
            <w:noWrap/>
            <w:vAlign w:val="bottom"/>
            <w:hideMark/>
          </w:tcPr>
          <w:p w:rsidR="00036949" w:rsidRPr="00E07A93" w:rsidRDefault="00036949" w:rsidP="00150318">
            <w:pPr>
              <w:jc w:val="right"/>
            </w:pPr>
            <w:r w:rsidRPr="00E07A93">
              <w:t>11.352</w:t>
            </w:r>
          </w:p>
        </w:tc>
      </w:tr>
      <w:tr w:rsidR="00150318" w:rsidRPr="00E07A93" w:rsidTr="00150318">
        <w:trPr>
          <w:trHeight w:val="285"/>
        </w:trPr>
        <w:tc>
          <w:tcPr>
            <w:tcW w:w="1523" w:type="pct"/>
            <w:shd w:val="clear" w:color="auto" w:fill="auto"/>
            <w:noWrap/>
            <w:vAlign w:val="bottom"/>
          </w:tcPr>
          <w:p w:rsidR="00036949" w:rsidRPr="005B32D9" w:rsidRDefault="00036949">
            <w:r>
              <w:t>Diğer</w:t>
            </w:r>
          </w:p>
        </w:tc>
        <w:tc>
          <w:tcPr>
            <w:tcW w:w="695" w:type="pct"/>
            <w:shd w:val="clear" w:color="auto" w:fill="auto"/>
            <w:noWrap/>
            <w:vAlign w:val="bottom"/>
          </w:tcPr>
          <w:p w:rsidR="00036949" w:rsidRPr="009A48A1" w:rsidRDefault="00036949" w:rsidP="00150318">
            <w:pPr>
              <w:jc w:val="right"/>
            </w:pPr>
            <w:r w:rsidRPr="009A48A1">
              <w:t>13.244</w:t>
            </w:r>
          </w:p>
        </w:tc>
        <w:tc>
          <w:tcPr>
            <w:tcW w:w="696" w:type="pct"/>
            <w:shd w:val="clear" w:color="auto" w:fill="auto"/>
            <w:noWrap/>
            <w:vAlign w:val="bottom"/>
          </w:tcPr>
          <w:p w:rsidR="00036949" w:rsidRPr="009A48A1" w:rsidRDefault="00036949" w:rsidP="00150318">
            <w:pPr>
              <w:jc w:val="right"/>
            </w:pPr>
            <w:r w:rsidRPr="009A48A1">
              <w:t>624</w:t>
            </w:r>
          </w:p>
        </w:tc>
        <w:tc>
          <w:tcPr>
            <w:tcW w:w="695" w:type="pct"/>
            <w:shd w:val="clear" w:color="auto" w:fill="auto"/>
            <w:noWrap/>
            <w:vAlign w:val="bottom"/>
          </w:tcPr>
          <w:p w:rsidR="00036949" w:rsidRPr="009A48A1" w:rsidRDefault="00036949" w:rsidP="00150318">
            <w:pPr>
              <w:jc w:val="right"/>
            </w:pPr>
            <w:r w:rsidRPr="009A48A1">
              <w:t>7.909</w:t>
            </w:r>
          </w:p>
        </w:tc>
        <w:tc>
          <w:tcPr>
            <w:tcW w:w="696" w:type="pct"/>
            <w:shd w:val="clear" w:color="auto" w:fill="auto"/>
            <w:noWrap/>
            <w:vAlign w:val="bottom"/>
          </w:tcPr>
          <w:p w:rsidR="00036949" w:rsidRPr="009A48A1" w:rsidRDefault="00036949" w:rsidP="00150318">
            <w:pPr>
              <w:jc w:val="right"/>
            </w:pPr>
            <w:r w:rsidRPr="009A48A1">
              <w:t>71.775</w:t>
            </w:r>
          </w:p>
        </w:tc>
        <w:tc>
          <w:tcPr>
            <w:tcW w:w="696" w:type="pct"/>
            <w:shd w:val="clear" w:color="auto" w:fill="auto"/>
            <w:noWrap/>
            <w:vAlign w:val="bottom"/>
          </w:tcPr>
          <w:p w:rsidR="00036949" w:rsidRPr="009A48A1" w:rsidRDefault="00036949" w:rsidP="00150318">
            <w:pPr>
              <w:jc w:val="right"/>
            </w:pPr>
            <w:r w:rsidRPr="009A48A1">
              <w:t>31.340</w:t>
            </w:r>
          </w:p>
        </w:tc>
      </w:tr>
      <w:tr w:rsidR="00150318" w:rsidRPr="00E07A93" w:rsidTr="00150318">
        <w:trPr>
          <w:trHeight w:val="285"/>
        </w:trPr>
        <w:tc>
          <w:tcPr>
            <w:tcW w:w="1523" w:type="pct"/>
            <w:shd w:val="clear" w:color="auto" w:fill="auto"/>
            <w:noWrap/>
            <w:vAlign w:val="bottom"/>
            <w:hideMark/>
          </w:tcPr>
          <w:p w:rsidR="00036949" w:rsidRPr="00E07A93" w:rsidRDefault="00036949" w:rsidP="00E07A93">
            <w:r w:rsidRPr="00E07A93">
              <w:t> </w:t>
            </w:r>
          </w:p>
        </w:tc>
        <w:tc>
          <w:tcPr>
            <w:tcW w:w="695" w:type="pct"/>
            <w:shd w:val="clear" w:color="auto" w:fill="auto"/>
            <w:noWrap/>
            <w:vAlign w:val="bottom"/>
            <w:hideMark/>
          </w:tcPr>
          <w:p w:rsidR="00036949" w:rsidRPr="00E07A93" w:rsidRDefault="00036949" w:rsidP="00150318">
            <w:pPr>
              <w:jc w:val="right"/>
            </w:pPr>
          </w:p>
        </w:tc>
        <w:tc>
          <w:tcPr>
            <w:tcW w:w="696" w:type="pct"/>
            <w:shd w:val="clear" w:color="auto" w:fill="auto"/>
            <w:noWrap/>
            <w:vAlign w:val="bottom"/>
            <w:hideMark/>
          </w:tcPr>
          <w:p w:rsidR="00036949" w:rsidRPr="00E07A93" w:rsidRDefault="00036949" w:rsidP="00150318">
            <w:pPr>
              <w:jc w:val="right"/>
            </w:pPr>
          </w:p>
        </w:tc>
        <w:tc>
          <w:tcPr>
            <w:tcW w:w="695" w:type="pct"/>
            <w:shd w:val="clear" w:color="auto" w:fill="auto"/>
            <w:noWrap/>
            <w:vAlign w:val="bottom"/>
            <w:hideMark/>
          </w:tcPr>
          <w:p w:rsidR="00036949" w:rsidRPr="00E07A93" w:rsidRDefault="00036949" w:rsidP="00150318">
            <w:pPr>
              <w:jc w:val="right"/>
            </w:pPr>
          </w:p>
        </w:tc>
        <w:tc>
          <w:tcPr>
            <w:tcW w:w="696" w:type="pct"/>
            <w:shd w:val="clear" w:color="auto" w:fill="auto"/>
            <w:noWrap/>
            <w:vAlign w:val="bottom"/>
            <w:hideMark/>
          </w:tcPr>
          <w:p w:rsidR="00036949" w:rsidRPr="00E07A93" w:rsidRDefault="00036949" w:rsidP="00150318">
            <w:pPr>
              <w:jc w:val="right"/>
            </w:pPr>
          </w:p>
        </w:tc>
        <w:tc>
          <w:tcPr>
            <w:tcW w:w="696" w:type="pct"/>
            <w:shd w:val="clear" w:color="auto" w:fill="auto"/>
            <w:noWrap/>
            <w:vAlign w:val="bottom"/>
            <w:hideMark/>
          </w:tcPr>
          <w:p w:rsidR="00036949" w:rsidRPr="00E07A93" w:rsidRDefault="00036949" w:rsidP="00150318">
            <w:pPr>
              <w:jc w:val="right"/>
            </w:pPr>
          </w:p>
        </w:tc>
      </w:tr>
      <w:tr w:rsidR="00150318" w:rsidRPr="00E07A93" w:rsidTr="00150318">
        <w:trPr>
          <w:trHeight w:val="285"/>
        </w:trPr>
        <w:tc>
          <w:tcPr>
            <w:tcW w:w="1523" w:type="pct"/>
            <w:shd w:val="clear" w:color="auto" w:fill="auto"/>
            <w:noWrap/>
            <w:vAlign w:val="bottom"/>
            <w:hideMark/>
          </w:tcPr>
          <w:p w:rsidR="00036949" w:rsidRPr="00E07A93" w:rsidRDefault="00036949" w:rsidP="005B32D9">
            <w:r w:rsidRPr="00E07A93">
              <w:rPr>
                <w:bCs/>
                <w:iCs/>
              </w:rPr>
              <w:t xml:space="preserve">AB27 </w:t>
            </w:r>
            <w:r w:rsidRPr="005B32D9">
              <w:rPr>
                <w:bCs/>
                <w:iCs/>
              </w:rPr>
              <w:t>İhracat</w:t>
            </w:r>
            <w:r w:rsidR="00150318">
              <w:t>-</w:t>
            </w:r>
            <w:r w:rsidRPr="00E07A93">
              <w:t>Değişim</w:t>
            </w:r>
            <w:r>
              <w:t xml:space="preserve"> (%)</w:t>
            </w:r>
          </w:p>
        </w:tc>
        <w:tc>
          <w:tcPr>
            <w:tcW w:w="695" w:type="pct"/>
            <w:shd w:val="clear" w:color="auto" w:fill="auto"/>
            <w:noWrap/>
            <w:vAlign w:val="bottom"/>
            <w:hideMark/>
          </w:tcPr>
          <w:p w:rsidR="00036949" w:rsidRPr="00E07A93" w:rsidRDefault="00036949" w:rsidP="00150318">
            <w:pPr>
              <w:jc w:val="right"/>
            </w:pPr>
            <w:r w:rsidRPr="00E07A93">
              <w:t>-68</w:t>
            </w:r>
          </w:p>
        </w:tc>
        <w:tc>
          <w:tcPr>
            <w:tcW w:w="696" w:type="pct"/>
            <w:shd w:val="clear" w:color="auto" w:fill="auto"/>
            <w:noWrap/>
            <w:vAlign w:val="bottom"/>
            <w:hideMark/>
          </w:tcPr>
          <w:p w:rsidR="00036949" w:rsidRPr="00E07A93" w:rsidRDefault="00036949" w:rsidP="00150318">
            <w:pPr>
              <w:jc w:val="right"/>
            </w:pPr>
            <w:r w:rsidRPr="00E07A93">
              <w:t>-29</w:t>
            </w:r>
          </w:p>
        </w:tc>
        <w:tc>
          <w:tcPr>
            <w:tcW w:w="695" w:type="pct"/>
            <w:shd w:val="clear" w:color="auto" w:fill="auto"/>
            <w:noWrap/>
            <w:vAlign w:val="bottom"/>
            <w:hideMark/>
          </w:tcPr>
          <w:p w:rsidR="00036949" w:rsidRPr="00E07A93" w:rsidRDefault="00036949" w:rsidP="00150318">
            <w:pPr>
              <w:jc w:val="right"/>
            </w:pPr>
            <w:r w:rsidRPr="00E07A93">
              <w:t>141</w:t>
            </w:r>
          </w:p>
        </w:tc>
        <w:tc>
          <w:tcPr>
            <w:tcW w:w="696" w:type="pct"/>
            <w:shd w:val="clear" w:color="auto" w:fill="auto"/>
            <w:noWrap/>
            <w:vAlign w:val="bottom"/>
            <w:hideMark/>
          </w:tcPr>
          <w:p w:rsidR="00036949" w:rsidRPr="00E07A93" w:rsidRDefault="00036949" w:rsidP="00150318">
            <w:pPr>
              <w:jc w:val="right"/>
            </w:pPr>
            <w:r w:rsidRPr="00E07A93">
              <w:t>252</w:t>
            </w:r>
          </w:p>
        </w:tc>
        <w:tc>
          <w:tcPr>
            <w:tcW w:w="696" w:type="pct"/>
            <w:shd w:val="clear" w:color="auto" w:fill="auto"/>
            <w:noWrap/>
            <w:vAlign w:val="bottom"/>
            <w:hideMark/>
          </w:tcPr>
          <w:p w:rsidR="00036949" w:rsidRPr="00E07A93" w:rsidRDefault="00036949" w:rsidP="00150318">
            <w:pPr>
              <w:jc w:val="right"/>
            </w:pPr>
            <w:r w:rsidRPr="00E07A93">
              <w:t>103</w:t>
            </w:r>
          </w:p>
        </w:tc>
      </w:tr>
      <w:tr w:rsidR="00150318" w:rsidRPr="00E07A93" w:rsidTr="00150318">
        <w:trPr>
          <w:trHeight w:val="285"/>
        </w:trPr>
        <w:tc>
          <w:tcPr>
            <w:tcW w:w="1523" w:type="pct"/>
            <w:shd w:val="clear" w:color="auto" w:fill="auto"/>
            <w:noWrap/>
            <w:vAlign w:val="bottom"/>
            <w:hideMark/>
          </w:tcPr>
          <w:p w:rsidR="00150318" w:rsidRDefault="00036949" w:rsidP="00E07A93">
            <w:r w:rsidRPr="00E07A93">
              <w:t>Türkiye</w:t>
            </w:r>
            <w:r w:rsidR="00150318">
              <w:t xml:space="preserve">’ye Yapılan </w:t>
            </w:r>
          </w:p>
          <w:p w:rsidR="00036949" w:rsidRPr="00E07A93" w:rsidRDefault="00150318" w:rsidP="00E07A93">
            <w:r>
              <w:t>İhracat-</w:t>
            </w:r>
            <w:r w:rsidRPr="00E07A93">
              <w:t>Değişim</w:t>
            </w:r>
            <w:r w:rsidR="00036949">
              <w:t xml:space="preserve"> (%)</w:t>
            </w:r>
          </w:p>
        </w:tc>
        <w:tc>
          <w:tcPr>
            <w:tcW w:w="695" w:type="pct"/>
            <w:shd w:val="clear" w:color="auto" w:fill="auto"/>
            <w:noWrap/>
            <w:vAlign w:val="bottom"/>
            <w:hideMark/>
          </w:tcPr>
          <w:p w:rsidR="00036949" w:rsidRPr="00E07A93" w:rsidRDefault="00036949" w:rsidP="00150318">
            <w:pPr>
              <w:jc w:val="right"/>
            </w:pPr>
            <w:r w:rsidRPr="00E07A93">
              <w:t>-71</w:t>
            </w:r>
          </w:p>
        </w:tc>
        <w:tc>
          <w:tcPr>
            <w:tcW w:w="696" w:type="pct"/>
            <w:shd w:val="clear" w:color="auto" w:fill="auto"/>
            <w:noWrap/>
            <w:vAlign w:val="bottom"/>
            <w:hideMark/>
          </w:tcPr>
          <w:p w:rsidR="00036949" w:rsidRPr="00E07A93" w:rsidRDefault="00036949" w:rsidP="00150318">
            <w:pPr>
              <w:jc w:val="right"/>
            </w:pPr>
            <w:r w:rsidRPr="00E07A93">
              <w:t>6</w:t>
            </w:r>
          </w:p>
        </w:tc>
        <w:tc>
          <w:tcPr>
            <w:tcW w:w="695" w:type="pct"/>
            <w:shd w:val="clear" w:color="auto" w:fill="auto"/>
            <w:noWrap/>
            <w:vAlign w:val="bottom"/>
            <w:hideMark/>
          </w:tcPr>
          <w:p w:rsidR="00036949" w:rsidRPr="00E07A93" w:rsidRDefault="00036949" w:rsidP="00150318">
            <w:pPr>
              <w:jc w:val="right"/>
            </w:pPr>
            <w:r w:rsidRPr="00E07A93">
              <w:t>40</w:t>
            </w:r>
          </w:p>
        </w:tc>
        <w:tc>
          <w:tcPr>
            <w:tcW w:w="696" w:type="pct"/>
            <w:shd w:val="clear" w:color="auto" w:fill="auto"/>
            <w:noWrap/>
            <w:vAlign w:val="bottom"/>
            <w:hideMark/>
          </w:tcPr>
          <w:p w:rsidR="00036949" w:rsidRPr="00E07A93" w:rsidRDefault="00036949" w:rsidP="00150318">
            <w:pPr>
              <w:jc w:val="right"/>
            </w:pPr>
            <w:r w:rsidRPr="00E07A93">
              <w:t>157</w:t>
            </w:r>
          </w:p>
        </w:tc>
        <w:tc>
          <w:tcPr>
            <w:tcW w:w="696" w:type="pct"/>
            <w:shd w:val="clear" w:color="auto" w:fill="auto"/>
            <w:noWrap/>
            <w:vAlign w:val="bottom"/>
            <w:hideMark/>
          </w:tcPr>
          <w:p w:rsidR="00036949" w:rsidRPr="00E07A93" w:rsidRDefault="00036949" w:rsidP="00150318">
            <w:pPr>
              <w:jc w:val="right"/>
            </w:pPr>
            <w:r w:rsidRPr="00E07A93">
              <w:t>46</w:t>
            </w:r>
          </w:p>
        </w:tc>
      </w:tr>
      <w:tr w:rsidR="00150318" w:rsidRPr="00E07A93" w:rsidTr="00150318">
        <w:trPr>
          <w:trHeight w:val="285"/>
        </w:trPr>
        <w:tc>
          <w:tcPr>
            <w:tcW w:w="1523" w:type="pct"/>
            <w:shd w:val="clear" w:color="auto" w:fill="auto"/>
            <w:noWrap/>
            <w:vAlign w:val="bottom"/>
            <w:hideMark/>
          </w:tcPr>
          <w:p w:rsidR="00150318" w:rsidRDefault="00036949" w:rsidP="00150318">
            <w:r w:rsidRPr="00E07A93">
              <w:t>Türkiye</w:t>
            </w:r>
            <w:r w:rsidR="00150318">
              <w:t>’nin AB İhracatı</w:t>
            </w:r>
            <w:r w:rsidRPr="00E07A93">
              <w:t xml:space="preserve"> </w:t>
            </w:r>
          </w:p>
          <w:p w:rsidR="00036949" w:rsidRPr="00E07A93" w:rsidRDefault="00150318" w:rsidP="00150318">
            <w:r>
              <w:t xml:space="preserve">İçindeki Payı </w:t>
            </w:r>
            <w:r w:rsidR="00036949">
              <w:t>(%)</w:t>
            </w:r>
          </w:p>
        </w:tc>
        <w:tc>
          <w:tcPr>
            <w:tcW w:w="695" w:type="pct"/>
            <w:shd w:val="clear" w:color="auto" w:fill="auto"/>
            <w:noWrap/>
            <w:vAlign w:val="bottom"/>
            <w:hideMark/>
          </w:tcPr>
          <w:p w:rsidR="00036949" w:rsidRPr="00E07A93" w:rsidRDefault="00036949" w:rsidP="00150318">
            <w:pPr>
              <w:jc w:val="right"/>
            </w:pPr>
            <w:r w:rsidRPr="00E07A93">
              <w:t>64</w:t>
            </w:r>
          </w:p>
        </w:tc>
        <w:tc>
          <w:tcPr>
            <w:tcW w:w="696" w:type="pct"/>
            <w:shd w:val="clear" w:color="auto" w:fill="auto"/>
            <w:noWrap/>
            <w:vAlign w:val="bottom"/>
            <w:hideMark/>
          </w:tcPr>
          <w:p w:rsidR="00036949" w:rsidRPr="00E07A93" w:rsidRDefault="00036949" w:rsidP="00150318">
            <w:pPr>
              <w:jc w:val="right"/>
            </w:pPr>
            <w:r w:rsidRPr="00E07A93">
              <w:t>95</w:t>
            </w:r>
          </w:p>
        </w:tc>
        <w:tc>
          <w:tcPr>
            <w:tcW w:w="695" w:type="pct"/>
            <w:shd w:val="clear" w:color="auto" w:fill="auto"/>
            <w:noWrap/>
            <w:vAlign w:val="bottom"/>
            <w:hideMark/>
          </w:tcPr>
          <w:p w:rsidR="00036949" w:rsidRPr="00E07A93" w:rsidRDefault="00036949" w:rsidP="00150318">
            <w:pPr>
              <w:jc w:val="right"/>
            </w:pPr>
            <w:r w:rsidRPr="00E07A93">
              <w:t>55</w:t>
            </w:r>
          </w:p>
        </w:tc>
        <w:tc>
          <w:tcPr>
            <w:tcW w:w="696" w:type="pct"/>
            <w:shd w:val="clear" w:color="auto" w:fill="auto"/>
            <w:noWrap/>
            <w:vAlign w:val="bottom"/>
            <w:hideMark/>
          </w:tcPr>
          <w:p w:rsidR="00036949" w:rsidRPr="00E07A93" w:rsidRDefault="00036949" w:rsidP="00150318">
            <w:pPr>
              <w:jc w:val="right"/>
            </w:pPr>
            <w:r w:rsidRPr="00E07A93">
              <w:t>40</w:t>
            </w:r>
          </w:p>
        </w:tc>
        <w:tc>
          <w:tcPr>
            <w:tcW w:w="696" w:type="pct"/>
            <w:shd w:val="clear" w:color="auto" w:fill="auto"/>
            <w:noWrap/>
            <w:vAlign w:val="bottom"/>
            <w:hideMark/>
          </w:tcPr>
          <w:p w:rsidR="00036949" w:rsidRPr="00E07A93" w:rsidRDefault="00036949" w:rsidP="00150318">
            <w:pPr>
              <w:jc w:val="right"/>
            </w:pPr>
            <w:r w:rsidRPr="00E07A93">
              <w:t>29</w:t>
            </w:r>
          </w:p>
        </w:tc>
      </w:tr>
    </w:tbl>
    <w:p w:rsidR="00E07A93" w:rsidRDefault="00E07A93" w:rsidP="002D2AA2">
      <w:pPr>
        <w:ind w:firstLine="708"/>
        <w:jc w:val="both"/>
      </w:pPr>
    </w:p>
    <w:p w:rsidR="005E120F" w:rsidRDefault="00EA18AC" w:rsidP="00F05C7E">
      <w:pPr>
        <w:ind w:firstLine="708"/>
        <w:jc w:val="both"/>
      </w:pPr>
      <w:r>
        <w:t>T</w:t>
      </w:r>
      <w:r w:rsidR="005E120F">
        <w:t xml:space="preserve">ablodan da görüleceği üzere, AB’nin </w:t>
      </w:r>
      <w:proofErr w:type="gramStart"/>
      <w:r w:rsidR="005E120F">
        <w:t>2917.36</w:t>
      </w:r>
      <w:proofErr w:type="gramEnd"/>
      <w:r w:rsidR="005E120F">
        <w:t xml:space="preserve"> kodundan yaptığı ihracat 2010 yılına kadar gerilerken o yıl %141, 2011’de %252 ve 2012 yılında %103 oranında artış göstermiştir. Bu dönemde benzer şekilde </w:t>
      </w:r>
      <w:r w:rsidR="00E1462C">
        <w:t xml:space="preserve">AB’den </w:t>
      </w:r>
      <w:r w:rsidR="005E120F">
        <w:t>Türkiye’ye yapılan ihracat 2010-2012 döneminde sırasıyla %40, %157 ve %46 oranlarında artmıştır.</w:t>
      </w:r>
    </w:p>
    <w:p w:rsidR="005E120F" w:rsidRDefault="005E120F" w:rsidP="00F05C7E">
      <w:pPr>
        <w:ind w:firstLine="708"/>
        <w:jc w:val="both"/>
      </w:pPr>
    </w:p>
    <w:p w:rsidR="00AB5837" w:rsidRDefault="00AB5837" w:rsidP="00F05C7E">
      <w:pPr>
        <w:ind w:firstLine="708"/>
        <w:jc w:val="both"/>
      </w:pPr>
      <w:r w:rsidRPr="00125018">
        <w:t xml:space="preserve">Sonuç olarak, 2008 sonrasında Avrupa pazarında üretim ve kapasite değerleri ile tüketim arasındaki makasın açıldığı, artan kapasitelerin de etkisiyle üreticilerin </w:t>
      </w:r>
      <w:r w:rsidR="001738D4">
        <w:t xml:space="preserve">özellikle 2010 sonrasında </w:t>
      </w:r>
      <w:r w:rsidRPr="00125018">
        <w:t>ihracata yöneldiği</w:t>
      </w:r>
      <w:r w:rsidR="005B32D9">
        <w:t>, 2011 ve 2012 yılları beraber değerlendirildiğinde ise bu ihracat artışından en yüksek payı Türkiye’nin aldığı</w:t>
      </w:r>
      <w:r w:rsidRPr="00125018">
        <w:t xml:space="preserve"> görülmektedir.</w:t>
      </w:r>
    </w:p>
    <w:p w:rsidR="000C7A48" w:rsidRDefault="000C7A48" w:rsidP="008129B1">
      <w:pPr>
        <w:pStyle w:val="Balk4"/>
      </w:pPr>
      <w:r>
        <w:t xml:space="preserve">Çin </w:t>
      </w:r>
      <w:r w:rsidR="00C42474">
        <w:t>pazarında yaşanan gelişmeler</w:t>
      </w:r>
    </w:p>
    <w:p w:rsidR="006D1CE9" w:rsidRDefault="006D1CE9" w:rsidP="006D1CE9">
      <w:pPr>
        <w:ind w:firstLine="708"/>
        <w:jc w:val="both"/>
      </w:pPr>
      <w:r>
        <w:t xml:space="preserve">Çin’de </w:t>
      </w:r>
      <w:r w:rsidR="00572C1C">
        <w:t>son yıllarda artan</w:t>
      </w:r>
      <w:r>
        <w:t xml:space="preserve"> PTA talebini karşılamak ve yüksek kar </w:t>
      </w:r>
      <w:proofErr w:type="gramStart"/>
      <w:r>
        <w:t>marjından</w:t>
      </w:r>
      <w:proofErr w:type="gramEnd"/>
      <w:r>
        <w:t xml:space="preserve"> faydalanmak üzere PTA üreticileri çok hızlı şekilde arzı genişletmeye başlamıştır.</w:t>
      </w:r>
      <w:r>
        <w:rPr>
          <w:rStyle w:val="DipnotBavurusu"/>
        </w:rPr>
        <w:footnoteReference w:id="13"/>
      </w:r>
      <w:r w:rsidR="00D552D7">
        <w:t xml:space="preserve"> 2011 yılı sonunda 18,9</w:t>
      </w:r>
      <w:r>
        <w:t xml:space="preserve"> milyon ton olan üretim kapasitesi</w:t>
      </w:r>
      <w:r w:rsidR="00D552D7">
        <w:rPr>
          <w:rStyle w:val="DipnotBavurusu"/>
        </w:rPr>
        <w:footnoteReference w:id="14"/>
      </w:r>
      <w:r>
        <w:t>, 2012 yılı sonunda 26 milyon tona yükselmiş ve bu kapasitenin 10,</w:t>
      </w:r>
      <w:r w:rsidRPr="006D1CE9">
        <w:t xml:space="preserve">2 </w:t>
      </w:r>
      <w:r>
        <w:t>mi</w:t>
      </w:r>
      <w:r w:rsidR="003732B1">
        <w:t>l</w:t>
      </w:r>
      <w:r>
        <w:t>yon tonu 2012 yılında kurulmuştur.</w:t>
      </w:r>
      <w:r w:rsidR="00D552D7">
        <w:rPr>
          <w:rStyle w:val="DipnotBavurusu"/>
        </w:rPr>
        <w:footnoteReference w:id="15"/>
      </w:r>
      <w:r>
        <w:t xml:space="preserve"> Önümüzdeki 3 yılda 18,5 milyon tonluk yeni kapasite kurulacağı ve 2015 yılında Çin’in PTA üretim kapasitesinin 2011’deki seviyenin neredeyse iki katına çıkarak 39 milyon tona ulaşması beklenmektedir.</w:t>
      </w:r>
      <w:r>
        <w:rPr>
          <w:rStyle w:val="DipnotBavurusu"/>
        </w:rPr>
        <w:footnoteReference w:id="16"/>
      </w:r>
      <w:r>
        <w:t xml:space="preserve"> </w:t>
      </w:r>
    </w:p>
    <w:p w:rsidR="006D1CE9" w:rsidRDefault="006D1CE9" w:rsidP="00A30FC1">
      <w:pPr>
        <w:ind w:firstLine="708"/>
      </w:pPr>
    </w:p>
    <w:p w:rsidR="00815232" w:rsidRDefault="003732B1" w:rsidP="00E83EC5">
      <w:pPr>
        <w:ind w:firstLine="708"/>
        <w:jc w:val="both"/>
      </w:pPr>
      <w:r>
        <w:t xml:space="preserve">Çin’de PTA üretim kapasitesinde yaşanan </w:t>
      </w:r>
      <w:r w:rsidR="001D0699">
        <w:t xml:space="preserve">ve özellikle 2012 yılında hissedilen </w:t>
      </w:r>
      <w:r>
        <w:t xml:space="preserve">bu aşırı artış nedeniyle 2010 yılında 5,4 milyon tonla tüm zamanların en yüksek seviyesine çıkan PTA </w:t>
      </w:r>
      <w:r>
        <w:lastRenderedPageBreak/>
        <w:t xml:space="preserve">ithalatı, </w:t>
      </w:r>
      <w:r w:rsidR="00FD7A38">
        <w:t>“</w:t>
      </w:r>
      <w:r>
        <w:t xml:space="preserve">2012 yılında 4,2 milyon tonla </w:t>
      </w:r>
      <w:r w:rsidRPr="00FD7A38">
        <w:t>tüm zamanların</w:t>
      </w:r>
      <w:r>
        <w:t xml:space="preserve"> en düşük seviyesine gerilemiştir.</w:t>
      </w:r>
      <w:r w:rsidR="00FD7A38">
        <w:t>”</w:t>
      </w:r>
      <w:r>
        <w:rPr>
          <w:rStyle w:val="DipnotBavurusu"/>
        </w:rPr>
        <w:footnoteReference w:id="17"/>
      </w:r>
      <w:r>
        <w:t xml:space="preserve"> </w:t>
      </w:r>
      <w:r w:rsidR="001D0699">
        <w:t xml:space="preserve">PTA kapasitesinin PET üretimi için ihtiyaç duyulan hammadde miktarını önemli ölçüde aşmış olması bu duruma sebep olmuş, aynı durum </w:t>
      </w:r>
      <w:r w:rsidR="00900884">
        <w:t xml:space="preserve">artan paraksilen fiyatlarıyla birleşince </w:t>
      </w:r>
      <w:proofErr w:type="spellStart"/>
      <w:r w:rsidR="001D0699">
        <w:t>PTA</w:t>
      </w:r>
      <w:proofErr w:type="spellEnd"/>
      <w:r w:rsidR="001D0699">
        <w:t xml:space="preserve"> </w:t>
      </w:r>
      <w:r w:rsidR="00900884">
        <w:t>üreticilerinin zarar etmesine de sebep olmuştur.</w:t>
      </w:r>
      <w:r w:rsidR="00FD7A38">
        <w:t xml:space="preserve"> İthalatta yaşanan düşüş trendi 2013 yılında da devam etmiştir. Çin’in PTA </w:t>
      </w:r>
      <w:r w:rsidR="00FE15F3">
        <w:t>2013 yılında 2,14</w:t>
      </w:r>
      <w:r w:rsidR="00E83EC5">
        <w:t xml:space="preserve"> milyon tona kadar gerilemiştir. A</w:t>
      </w:r>
      <w:r w:rsidR="00815232">
        <w:t xml:space="preserve">şağıdaki tabloda Çin’in </w:t>
      </w:r>
      <w:r w:rsidR="00C17954">
        <w:t>2008-2013</w:t>
      </w:r>
      <w:r w:rsidR="00FD7A38">
        <w:t xml:space="preserve"> yılları arasındaki </w:t>
      </w:r>
      <w:r w:rsidR="00815232">
        <w:t xml:space="preserve">PTA ithalatı </w:t>
      </w:r>
      <w:r w:rsidR="00CE72CA">
        <w:t xml:space="preserve">miktar cinsinden </w:t>
      </w:r>
      <w:r w:rsidR="00815232">
        <w:t>yer almaktadır.</w:t>
      </w:r>
      <w:r w:rsidR="00FD7A38">
        <w:t xml:space="preserve"> </w:t>
      </w:r>
    </w:p>
    <w:p w:rsidR="009A48A1" w:rsidRDefault="009A48A1" w:rsidP="003732B1">
      <w:pPr>
        <w:ind w:firstLine="708"/>
        <w:jc w:val="both"/>
      </w:pPr>
    </w:p>
    <w:tbl>
      <w:tblPr>
        <w:tblStyle w:val="TabloKlavuzu"/>
        <w:tblW w:w="5000" w:type="pct"/>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242"/>
        <w:gridCol w:w="1049"/>
        <w:gridCol w:w="1167"/>
        <w:gridCol w:w="1167"/>
        <w:gridCol w:w="1167"/>
        <w:gridCol w:w="1168"/>
        <w:gridCol w:w="1167"/>
        <w:gridCol w:w="1161"/>
      </w:tblGrid>
      <w:tr w:rsidR="00F8654F" w:rsidRPr="00815232" w:rsidTr="00F8654F">
        <w:trPr>
          <w:trHeight w:val="427"/>
        </w:trPr>
        <w:tc>
          <w:tcPr>
            <w:tcW w:w="5000" w:type="pct"/>
            <w:gridSpan w:val="8"/>
            <w:vAlign w:val="center"/>
          </w:tcPr>
          <w:p w:rsidR="00F8654F" w:rsidRPr="00CE72CA" w:rsidRDefault="00F8654F" w:rsidP="00F8654F">
            <w:pPr>
              <w:jc w:val="center"/>
              <w:rPr>
                <w:b/>
                <w:sz w:val="20"/>
                <w:szCs w:val="20"/>
              </w:rPr>
            </w:pPr>
            <w:r>
              <w:rPr>
                <w:b/>
                <w:sz w:val="20"/>
                <w:szCs w:val="20"/>
              </w:rPr>
              <w:t>Çin’in PTA İthalatı (Ton)</w:t>
            </w:r>
            <w:r>
              <w:rPr>
                <w:rStyle w:val="DipnotBavurusu"/>
                <w:b/>
                <w:sz w:val="20"/>
                <w:szCs w:val="20"/>
              </w:rPr>
              <w:footnoteReference w:id="18"/>
            </w:r>
          </w:p>
        </w:tc>
      </w:tr>
      <w:tr w:rsidR="00C17954" w:rsidRPr="00815232" w:rsidTr="00F8654F">
        <w:trPr>
          <w:trHeight w:val="427"/>
        </w:trPr>
        <w:tc>
          <w:tcPr>
            <w:tcW w:w="669" w:type="pct"/>
            <w:vAlign w:val="center"/>
            <w:hideMark/>
          </w:tcPr>
          <w:p w:rsidR="00C17954" w:rsidRPr="007511A4" w:rsidRDefault="00C17954" w:rsidP="00BB50E2">
            <w:pPr>
              <w:rPr>
                <w:bCs/>
                <w:sz w:val="20"/>
                <w:szCs w:val="20"/>
              </w:rPr>
            </w:pPr>
            <w:r w:rsidRPr="007511A4">
              <w:rPr>
                <w:bCs/>
                <w:sz w:val="20"/>
                <w:szCs w:val="20"/>
              </w:rPr>
              <w:t>İhracatçılar</w:t>
            </w:r>
          </w:p>
        </w:tc>
        <w:tc>
          <w:tcPr>
            <w:tcW w:w="565" w:type="pct"/>
            <w:vAlign w:val="center"/>
            <w:hideMark/>
          </w:tcPr>
          <w:p w:rsidR="00C17954" w:rsidRPr="007511A4" w:rsidRDefault="00C17954" w:rsidP="00C17954">
            <w:pPr>
              <w:jc w:val="right"/>
              <w:rPr>
                <w:bCs/>
                <w:sz w:val="20"/>
                <w:szCs w:val="20"/>
              </w:rPr>
            </w:pPr>
            <w:r w:rsidRPr="007511A4">
              <w:rPr>
                <w:bCs/>
                <w:sz w:val="20"/>
                <w:szCs w:val="20"/>
              </w:rPr>
              <w:t>2008</w:t>
            </w:r>
          </w:p>
        </w:tc>
        <w:tc>
          <w:tcPr>
            <w:tcW w:w="628" w:type="pct"/>
            <w:vAlign w:val="center"/>
            <w:hideMark/>
          </w:tcPr>
          <w:p w:rsidR="00C17954" w:rsidRPr="007511A4" w:rsidRDefault="00C17954" w:rsidP="00C17954">
            <w:pPr>
              <w:jc w:val="right"/>
              <w:rPr>
                <w:bCs/>
                <w:sz w:val="20"/>
                <w:szCs w:val="20"/>
              </w:rPr>
            </w:pPr>
            <w:r w:rsidRPr="007511A4">
              <w:rPr>
                <w:bCs/>
                <w:sz w:val="20"/>
                <w:szCs w:val="20"/>
              </w:rPr>
              <w:t>2009</w:t>
            </w:r>
          </w:p>
        </w:tc>
        <w:tc>
          <w:tcPr>
            <w:tcW w:w="628" w:type="pct"/>
            <w:vAlign w:val="center"/>
            <w:hideMark/>
          </w:tcPr>
          <w:p w:rsidR="00C17954" w:rsidRPr="007511A4" w:rsidRDefault="00C17954" w:rsidP="00C17954">
            <w:pPr>
              <w:jc w:val="right"/>
              <w:rPr>
                <w:bCs/>
                <w:sz w:val="20"/>
                <w:szCs w:val="20"/>
              </w:rPr>
            </w:pPr>
            <w:r w:rsidRPr="007511A4">
              <w:rPr>
                <w:bCs/>
                <w:sz w:val="20"/>
                <w:szCs w:val="20"/>
              </w:rPr>
              <w:t>2010</w:t>
            </w:r>
          </w:p>
        </w:tc>
        <w:tc>
          <w:tcPr>
            <w:tcW w:w="628" w:type="pct"/>
            <w:vAlign w:val="center"/>
            <w:hideMark/>
          </w:tcPr>
          <w:p w:rsidR="00C17954" w:rsidRPr="007511A4" w:rsidRDefault="00C17954" w:rsidP="00C17954">
            <w:pPr>
              <w:jc w:val="right"/>
              <w:rPr>
                <w:bCs/>
                <w:sz w:val="20"/>
                <w:szCs w:val="20"/>
              </w:rPr>
            </w:pPr>
            <w:r w:rsidRPr="007511A4">
              <w:rPr>
                <w:bCs/>
                <w:sz w:val="20"/>
                <w:szCs w:val="20"/>
              </w:rPr>
              <w:t>2011</w:t>
            </w:r>
          </w:p>
        </w:tc>
        <w:tc>
          <w:tcPr>
            <w:tcW w:w="629" w:type="pct"/>
            <w:vAlign w:val="center"/>
            <w:hideMark/>
          </w:tcPr>
          <w:p w:rsidR="00C17954" w:rsidRPr="007511A4" w:rsidRDefault="00C17954" w:rsidP="00C17954">
            <w:pPr>
              <w:jc w:val="right"/>
              <w:rPr>
                <w:bCs/>
                <w:sz w:val="20"/>
                <w:szCs w:val="20"/>
              </w:rPr>
            </w:pPr>
            <w:r w:rsidRPr="007511A4">
              <w:rPr>
                <w:bCs/>
                <w:sz w:val="20"/>
                <w:szCs w:val="20"/>
              </w:rPr>
              <w:t>2012</w:t>
            </w:r>
          </w:p>
        </w:tc>
        <w:tc>
          <w:tcPr>
            <w:tcW w:w="628" w:type="pct"/>
            <w:vAlign w:val="center"/>
          </w:tcPr>
          <w:p w:rsidR="00C17954" w:rsidRPr="007511A4" w:rsidRDefault="00C17954" w:rsidP="00C17954">
            <w:pPr>
              <w:jc w:val="right"/>
              <w:rPr>
                <w:sz w:val="20"/>
                <w:szCs w:val="20"/>
              </w:rPr>
            </w:pPr>
            <w:r>
              <w:rPr>
                <w:sz w:val="20"/>
                <w:szCs w:val="20"/>
              </w:rPr>
              <w:t>2013</w:t>
            </w:r>
          </w:p>
        </w:tc>
        <w:tc>
          <w:tcPr>
            <w:tcW w:w="625" w:type="pct"/>
            <w:vAlign w:val="center"/>
          </w:tcPr>
          <w:p w:rsidR="00C17954" w:rsidRPr="007511A4" w:rsidRDefault="00C17954" w:rsidP="00C17954">
            <w:pPr>
              <w:jc w:val="right"/>
              <w:rPr>
                <w:sz w:val="20"/>
                <w:szCs w:val="20"/>
              </w:rPr>
            </w:pPr>
            <w:r w:rsidRPr="007511A4">
              <w:rPr>
                <w:sz w:val="20"/>
                <w:szCs w:val="20"/>
              </w:rPr>
              <w:t>201</w:t>
            </w:r>
            <w:r>
              <w:rPr>
                <w:sz w:val="20"/>
                <w:szCs w:val="20"/>
              </w:rPr>
              <w:t>3</w:t>
            </w:r>
            <w:r w:rsidRPr="007511A4">
              <w:rPr>
                <w:sz w:val="20"/>
                <w:szCs w:val="20"/>
              </w:rPr>
              <w:t xml:space="preserve"> (%)</w:t>
            </w:r>
          </w:p>
        </w:tc>
      </w:tr>
      <w:tr w:rsidR="00C17954" w:rsidRPr="00815232" w:rsidTr="00F8654F">
        <w:trPr>
          <w:trHeight w:val="300"/>
        </w:trPr>
        <w:tc>
          <w:tcPr>
            <w:tcW w:w="669" w:type="pct"/>
            <w:vAlign w:val="center"/>
          </w:tcPr>
          <w:p w:rsidR="00C17954" w:rsidRPr="00C17954" w:rsidRDefault="00C17954" w:rsidP="00C17954">
            <w:pPr>
              <w:rPr>
                <w:i/>
                <w:sz w:val="20"/>
                <w:szCs w:val="20"/>
              </w:rPr>
            </w:pPr>
            <w:r w:rsidRPr="00C17954">
              <w:rPr>
                <w:i/>
                <w:sz w:val="20"/>
                <w:szCs w:val="20"/>
              </w:rPr>
              <w:t>Dünya</w:t>
            </w:r>
          </w:p>
        </w:tc>
        <w:tc>
          <w:tcPr>
            <w:tcW w:w="565" w:type="pct"/>
            <w:noWrap/>
            <w:vAlign w:val="bottom"/>
          </w:tcPr>
          <w:p w:rsidR="00C17954" w:rsidRPr="00C17954" w:rsidRDefault="00C17954" w:rsidP="000B336F">
            <w:pPr>
              <w:jc w:val="right"/>
              <w:rPr>
                <w:i/>
                <w:sz w:val="20"/>
                <w:szCs w:val="20"/>
              </w:rPr>
            </w:pPr>
            <w:r w:rsidRPr="00C17954">
              <w:rPr>
                <w:i/>
                <w:sz w:val="20"/>
                <w:szCs w:val="20"/>
              </w:rPr>
              <w:t>4.978.084</w:t>
            </w:r>
          </w:p>
        </w:tc>
        <w:tc>
          <w:tcPr>
            <w:tcW w:w="628" w:type="pct"/>
            <w:noWrap/>
            <w:vAlign w:val="bottom"/>
          </w:tcPr>
          <w:p w:rsidR="00C17954" w:rsidRPr="00C17954" w:rsidRDefault="00C17954" w:rsidP="000B336F">
            <w:pPr>
              <w:jc w:val="right"/>
              <w:rPr>
                <w:i/>
                <w:sz w:val="20"/>
                <w:szCs w:val="20"/>
              </w:rPr>
            </w:pPr>
            <w:r w:rsidRPr="00C17954">
              <w:rPr>
                <w:i/>
                <w:sz w:val="20"/>
                <w:szCs w:val="20"/>
              </w:rPr>
              <w:t>5.080.298</w:t>
            </w:r>
          </w:p>
        </w:tc>
        <w:tc>
          <w:tcPr>
            <w:tcW w:w="628" w:type="pct"/>
            <w:noWrap/>
            <w:vAlign w:val="bottom"/>
          </w:tcPr>
          <w:p w:rsidR="00C17954" w:rsidRPr="00C17954" w:rsidRDefault="00C17954" w:rsidP="000B336F">
            <w:pPr>
              <w:jc w:val="right"/>
              <w:rPr>
                <w:i/>
                <w:sz w:val="20"/>
                <w:szCs w:val="20"/>
              </w:rPr>
            </w:pPr>
            <w:r w:rsidRPr="00C17954">
              <w:rPr>
                <w:i/>
                <w:sz w:val="20"/>
                <w:szCs w:val="20"/>
              </w:rPr>
              <w:t>5.402.249</w:t>
            </w:r>
          </w:p>
        </w:tc>
        <w:tc>
          <w:tcPr>
            <w:tcW w:w="628" w:type="pct"/>
            <w:noWrap/>
            <w:vAlign w:val="bottom"/>
          </w:tcPr>
          <w:p w:rsidR="00C17954" w:rsidRPr="00C17954" w:rsidRDefault="00C17954" w:rsidP="000B336F">
            <w:pPr>
              <w:jc w:val="right"/>
              <w:rPr>
                <w:i/>
                <w:sz w:val="20"/>
                <w:szCs w:val="20"/>
              </w:rPr>
            </w:pPr>
            <w:r w:rsidRPr="00C17954">
              <w:rPr>
                <w:i/>
                <w:sz w:val="20"/>
                <w:szCs w:val="20"/>
              </w:rPr>
              <w:t>5.377.463</w:t>
            </w:r>
          </w:p>
        </w:tc>
        <w:tc>
          <w:tcPr>
            <w:tcW w:w="629" w:type="pct"/>
            <w:noWrap/>
            <w:vAlign w:val="bottom"/>
          </w:tcPr>
          <w:p w:rsidR="00C17954" w:rsidRPr="00C17954" w:rsidRDefault="00C17954" w:rsidP="000B336F">
            <w:pPr>
              <w:jc w:val="right"/>
              <w:rPr>
                <w:i/>
                <w:sz w:val="20"/>
                <w:szCs w:val="20"/>
              </w:rPr>
            </w:pPr>
            <w:r w:rsidRPr="00C17954">
              <w:rPr>
                <w:i/>
                <w:sz w:val="20"/>
                <w:szCs w:val="20"/>
              </w:rPr>
              <w:t>4.194.897</w:t>
            </w:r>
          </w:p>
        </w:tc>
        <w:tc>
          <w:tcPr>
            <w:tcW w:w="628" w:type="pct"/>
            <w:vAlign w:val="bottom"/>
          </w:tcPr>
          <w:p w:rsidR="00C17954" w:rsidRPr="00C17954" w:rsidRDefault="00C17954" w:rsidP="000B336F">
            <w:pPr>
              <w:jc w:val="right"/>
              <w:rPr>
                <w:i/>
                <w:sz w:val="20"/>
                <w:szCs w:val="20"/>
              </w:rPr>
            </w:pPr>
            <w:r w:rsidRPr="00C17954">
              <w:rPr>
                <w:i/>
                <w:sz w:val="20"/>
                <w:szCs w:val="20"/>
              </w:rPr>
              <w:t>2.136.533</w:t>
            </w:r>
          </w:p>
        </w:tc>
        <w:tc>
          <w:tcPr>
            <w:tcW w:w="625" w:type="pct"/>
            <w:vAlign w:val="bottom"/>
          </w:tcPr>
          <w:p w:rsidR="00C17954" w:rsidRPr="00C17954" w:rsidRDefault="00C17954" w:rsidP="000B336F">
            <w:pPr>
              <w:jc w:val="right"/>
              <w:rPr>
                <w:i/>
                <w:sz w:val="20"/>
                <w:szCs w:val="20"/>
              </w:rPr>
            </w:pPr>
            <w:r w:rsidRPr="00C17954">
              <w:rPr>
                <w:i/>
                <w:sz w:val="20"/>
                <w:szCs w:val="20"/>
              </w:rPr>
              <w:t>100</w:t>
            </w:r>
          </w:p>
        </w:tc>
      </w:tr>
      <w:tr w:rsidR="00C17954" w:rsidRPr="00815232" w:rsidTr="00F8654F">
        <w:trPr>
          <w:trHeight w:val="300"/>
        </w:trPr>
        <w:tc>
          <w:tcPr>
            <w:tcW w:w="669" w:type="pct"/>
            <w:vAlign w:val="center"/>
          </w:tcPr>
          <w:p w:rsidR="00C17954" w:rsidRPr="00C17954" w:rsidRDefault="00C17954" w:rsidP="00C17954">
            <w:pPr>
              <w:rPr>
                <w:sz w:val="20"/>
                <w:szCs w:val="20"/>
              </w:rPr>
            </w:pPr>
            <w:r w:rsidRPr="00C17954">
              <w:rPr>
                <w:sz w:val="20"/>
                <w:szCs w:val="20"/>
              </w:rPr>
              <w:t>G. Kore</w:t>
            </w:r>
          </w:p>
        </w:tc>
        <w:tc>
          <w:tcPr>
            <w:tcW w:w="565" w:type="pct"/>
            <w:noWrap/>
            <w:vAlign w:val="bottom"/>
          </w:tcPr>
          <w:p w:rsidR="00C17954" w:rsidRPr="00C17954" w:rsidRDefault="00C17954" w:rsidP="000B336F">
            <w:pPr>
              <w:jc w:val="right"/>
              <w:rPr>
                <w:sz w:val="20"/>
                <w:szCs w:val="20"/>
              </w:rPr>
            </w:pPr>
            <w:r w:rsidRPr="00C17954">
              <w:rPr>
                <w:sz w:val="20"/>
                <w:szCs w:val="20"/>
              </w:rPr>
              <w:t>2.403.268</w:t>
            </w:r>
          </w:p>
        </w:tc>
        <w:tc>
          <w:tcPr>
            <w:tcW w:w="628" w:type="pct"/>
            <w:noWrap/>
            <w:vAlign w:val="bottom"/>
          </w:tcPr>
          <w:p w:rsidR="00C17954" w:rsidRPr="00C17954" w:rsidRDefault="00C17954" w:rsidP="000B336F">
            <w:pPr>
              <w:jc w:val="right"/>
              <w:rPr>
                <w:sz w:val="20"/>
                <w:szCs w:val="20"/>
              </w:rPr>
            </w:pPr>
            <w:r w:rsidRPr="00C17954">
              <w:rPr>
                <w:sz w:val="20"/>
                <w:szCs w:val="20"/>
              </w:rPr>
              <w:t>2.153.798</w:t>
            </w:r>
          </w:p>
        </w:tc>
        <w:tc>
          <w:tcPr>
            <w:tcW w:w="628" w:type="pct"/>
            <w:noWrap/>
            <w:vAlign w:val="bottom"/>
          </w:tcPr>
          <w:p w:rsidR="00C17954" w:rsidRPr="00C17954" w:rsidRDefault="00C17954" w:rsidP="000B336F">
            <w:pPr>
              <w:jc w:val="right"/>
              <w:rPr>
                <w:sz w:val="20"/>
                <w:szCs w:val="20"/>
              </w:rPr>
            </w:pPr>
            <w:r w:rsidRPr="00C17954">
              <w:rPr>
                <w:sz w:val="20"/>
                <w:szCs w:val="20"/>
              </w:rPr>
              <w:t>2.038.747</w:t>
            </w:r>
          </w:p>
        </w:tc>
        <w:tc>
          <w:tcPr>
            <w:tcW w:w="628" w:type="pct"/>
            <w:noWrap/>
            <w:vAlign w:val="bottom"/>
          </w:tcPr>
          <w:p w:rsidR="00C17954" w:rsidRPr="00C17954" w:rsidRDefault="00C17954" w:rsidP="000B336F">
            <w:pPr>
              <w:jc w:val="right"/>
              <w:rPr>
                <w:sz w:val="20"/>
                <w:szCs w:val="20"/>
              </w:rPr>
            </w:pPr>
            <w:r w:rsidRPr="00C17954">
              <w:rPr>
                <w:sz w:val="20"/>
                <w:szCs w:val="20"/>
              </w:rPr>
              <w:t>1.920.066</w:t>
            </w:r>
          </w:p>
        </w:tc>
        <w:tc>
          <w:tcPr>
            <w:tcW w:w="629" w:type="pct"/>
            <w:noWrap/>
            <w:vAlign w:val="bottom"/>
          </w:tcPr>
          <w:p w:rsidR="00C17954" w:rsidRPr="00C17954" w:rsidRDefault="00C17954" w:rsidP="000B336F">
            <w:pPr>
              <w:jc w:val="right"/>
              <w:rPr>
                <w:sz w:val="20"/>
                <w:szCs w:val="20"/>
              </w:rPr>
            </w:pPr>
            <w:r w:rsidRPr="00C17954">
              <w:rPr>
                <w:sz w:val="20"/>
                <w:szCs w:val="20"/>
              </w:rPr>
              <w:t>1.581.648</w:t>
            </w:r>
          </w:p>
        </w:tc>
        <w:tc>
          <w:tcPr>
            <w:tcW w:w="628" w:type="pct"/>
            <w:vAlign w:val="bottom"/>
          </w:tcPr>
          <w:p w:rsidR="00C17954" w:rsidRPr="00C17954" w:rsidRDefault="00C17954" w:rsidP="000B336F">
            <w:pPr>
              <w:jc w:val="right"/>
              <w:rPr>
                <w:sz w:val="20"/>
                <w:szCs w:val="20"/>
              </w:rPr>
            </w:pPr>
            <w:r w:rsidRPr="00C17954">
              <w:rPr>
                <w:sz w:val="20"/>
                <w:szCs w:val="20"/>
              </w:rPr>
              <w:t>1.213.156</w:t>
            </w:r>
          </w:p>
        </w:tc>
        <w:tc>
          <w:tcPr>
            <w:tcW w:w="625" w:type="pct"/>
            <w:vAlign w:val="bottom"/>
          </w:tcPr>
          <w:p w:rsidR="00C17954" w:rsidRPr="00C17954" w:rsidRDefault="00C17954" w:rsidP="000B336F">
            <w:pPr>
              <w:jc w:val="right"/>
              <w:rPr>
                <w:sz w:val="20"/>
                <w:szCs w:val="20"/>
              </w:rPr>
            </w:pPr>
            <w:r w:rsidRPr="00C17954">
              <w:rPr>
                <w:sz w:val="20"/>
                <w:szCs w:val="20"/>
              </w:rPr>
              <w:t>56,78</w:t>
            </w:r>
          </w:p>
        </w:tc>
      </w:tr>
      <w:tr w:rsidR="00C17954" w:rsidRPr="00815232" w:rsidTr="00F8654F">
        <w:trPr>
          <w:trHeight w:val="300"/>
        </w:trPr>
        <w:tc>
          <w:tcPr>
            <w:tcW w:w="669" w:type="pct"/>
            <w:vAlign w:val="center"/>
          </w:tcPr>
          <w:p w:rsidR="00C17954" w:rsidRPr="00C17954" w:rsidRDefault="00C17954" w:rsidP="00C17954">
            <w:pPr>
              <w:rPr>
                <w:sz w:val="20"/>
                <w:szCs w:val="20"/>
              </w:rPr>
            </w:pPr>
            <w:r w:rsidRPr="00C17954">
              <w:rPr>
                <w:sz w:val="20"/>
                <w:szCs w:val="20"/>
              </w:rPr>
              <w:t>Tayvan</w:t>
            </w:r>
          </w:p>
        </w:tc>
        <w:tc>
          <w:tcPr>
            <w:tcW w:w="565" w:type="pct"/>
            <w:noWrap/>
            <w:vAlign w:val="bottom"/>
          </w:tcPr>
          <w:p w:rsidR="00C17954" w:rsidRPr="00C17954" w:rsidRDefault="00C17954" w:rsidP="000B336F">
            <w:pPr>
              <w:jc w:val="right"/>
              <w:rPr>
                <w:sz w:val="20"/>
                <w:szCs w:val="20"/>
              </w:rPr>
            </w:pPr>
            <w:r w:rsidRPr="00C17954">
              <w:rPr>
                <w:sz w:val="20"/>
                <w:szCs w:val="20"/>
              </w:rPr>
              <w:t>1.725.905</w:t>
            </w:r>
          </w:p>
        </w:tc>
        <w:tc>
          <w:tcPr>
            <w:tcW w:w="628" w:type="pct"/>
            <w:noWrap/>
            <w:vAlign w:val="bottom"/>
          </w:tcPr>
          <w:p w:rsidR="00C17954" w:rsidRPr="00C17954" w:rsidRDefault="00C17954" w:rsidP="000B336F">
            <w:pPr>
              <w:jc w:val="right"/>
              <w:rPr>
                <w:sz w:val="20"/>
                <w:szCs w:val="20"/>
              </w:rPr>
            </w:pPr>
            <w:r w:rsidRPr="00C17954">
              <w:rPr>
                <w:sz w:val="20"/>
                <w:szCs w:val="20"/>
              </w:rPr>
              <w:t>1.902.173</w:t>
            </w:r>
          </w:p>
        </w:tc>
        <w:tc>
          <w:tcPr>
            <w:tcW w:w="628" w:type="pct"/>
            <w:noWrap/>
            <w:vAlign w:val="bottom"/>
          </w:tcPr>
          <w:p w:rsidR="00C17954" w:rsidRPr="00C17954" w:rsidRDefault="00C17954" w:rsidP="000B336F">
            <w:pPr>
              <w:jc w:val="right"/>
              <w:rPr>
                <w:sz w:val="20"/>
                <w:szCs w:val="20"/>
              </w:rPr>
            </w:pPr>
            <w:r w:rsidRPr="00C17954">
              <w:rPr>
                <w:sz w:val="20"/>
                <w:szCs w:val="20"/>
              </w:rPr>
              <w:t>2.501.133</w:t>
            </w:r>
          </w:p>
        </w:tc>
        <w:tc>
          <w:tcPr>
            <w:tcW w:w="628" w:type="pct"/>
            <w:noWrap/>
            <w:vAlign w:val="bottom"/>
          </w:tcPr>
          <w:p w:rsidR="00C17954" w:rsidRPr="00C17954" w:rsidRDefault="00C17954" w:rsidP="000B336F">
            <w:pPr>
              <w:jc w:val="right"/>
              <w:rPr>
                <w:sz w:val="20"/>
                <w:szCs w:val="20"/>
              </w:rPr>
            </w:pPr>
            <w:r w:rsidRPr="00C17954">
              <w:rPr>
                <w:sz w:val="20"/>
                <w:szCs w:val="20"/>
              </w:rPr>
              <w:t>2.686.742</w:t>
            </w:r>
          </w:p>
        </w:tc>
        <w:tc>
          <w:tcPr>
            <w:tcW w:w="629" w:type="pct"/>
            <w:noWrap/>
            <w:vAlign w:val="bottom"/>
          </w:tcPr>
          <w:p w:rsidR="00C17954" w:rsidRPr="00C17954" w:rsidRDefault="00C17954" w:rsidP="000B336F">
            <w:pPr>
              <w:jc w:val="right"/>
              <w:rPr>
                <w:sz w:val="20"/>
                <w:szCs w:val="20"/>
              </w:rPr>
            </w:pPr>
            <w:r w:rsidRPr="00C17954">
              <w:rPr>
                <w:sz w:val="20"/>
                <w:szCs w:val="20"/>
              </w:rPr>
              <w:t>1.785.041</w:t>
            </w:r>
          </w:p>
        </w:tc>
        <w:tc>
          <w:tcPr>
            <w:tcW w:w="628" w:type="pct"/>
            <w:vAlign w:val="bottom"/>
          </w:tcPr>
          <w:p w:rsidR="00C17954" w:rsidRPr="00C17954" w:rsidRDefault="00C17954" w:rsidP="000B336F">
            <w:pPr>
              <w:jc w:val="right"/>
              <w:rPr>
                <w:sz w:val="20"/>
                <w:szCs w:val="20"/>
              </w:rPr>
            </w:pPr>
            <w:r w:rsidRPr="00C17954">
              <w:rPr>
                <w:sz w:val="20"/>
                <w:szCs w:val="20"/>
              </w:rPr>
              <w:t>415.691</w:t>
            </w:r>
          </w:p>
        </w:tc>
        <w:tc>
          <w:tcPr>
            <w:tcW w:w="625" w:type="pct"/>
            <w:vAlign w:val="bottom"/>
          </w:tcPr>
          <w:p w:rsidR="00C17954" w:rsidRPr="00C17954" w:rsidRDefault="00C17954" w:rsidP="000B336F">
            <w:pPr>
              <w:jc w:val="right"/>
              <w:rPr>
                <w:sz w:val="20"/>
                <w:szCs w:val="20"/>
              </w:rPr>
            </w:pPr>
            <w:r w:rsidRPr="00C17954">
              <w:rPr>
                <w:sz w:val="20"/>
                <w:szCs w:val="20"/>
              </w:rPr>
              <w:t>19,46</w:t>
            </w:r>
          </w:p>
        </w:tc>
      </w:tr>
      <w:tr w:rsidR="00C17954" w:rsidRPr="00815232" w:rsidTr="00F8654F">
        <w:trPr>
          <w:trHeight w:val="300"/>
        </w:trPr>
        <w:tc>
          <w:tcPr>
            <w:tcW w:w="669" w:type="pct"/>
            <w:vAlign w:val="center"/>
          </w:tcPr>
          <w:p w:rsidR="00C17954" w:rsidRPr="00C17954" w:rsidRDefault="00C17954" w:rsidP="00C17954">
            <w:pPr>
              <w:rPr>
                <w:sz w:val="20"/>
                <w:szCs w:val="20"/>
              </w:rPr>
            </w:pPr>
            <w:r w:rsidRPr="00C17954">
              <w:rPr>
                <w:sz w:val="20"/>
                <w:szCs w:val="20"/>
              </w:rPr>
              <w:t>Tayland</w:t>
            </w:r>
          </w:p>
        </w:tc>
        <w:tc>
          <w:tcPr>
            <w:tcW w:w="565" w:type="pct"/>
            <w:noWrap/>
            <w:vAlign w:val="bottom"/>
          </w:tcPr>
          <w:p w:rsidR="00C17954" w:rsidRPr="00C17954" w:rsidRDefault="00C17954" w:rsidP="000B336F">
            <w:pPr>
              <w:jc w:val="right"/>
              <w:rPr>
                <w:sz w:val="20"/>
                <w:szCs w:val="20"/>
              </w:rPr>
            </w:pPr>
            <w:r w:rsidRPr="00C17954">
              <w:rPr>
                <w:sz w:val="20"/>
                <w:szCs w:val="20"/>
              </w:rPr>
              <w:t>588.273</w:t>
            </w:r>
          </w:p>
        </w:tc>
        <w:tc>
          <w:tcPr>
            <w:tcW w:w="628" w:type="pct"/>
            <w:noWrap/>
            <w:vAlign w:val="bottom"/>
          </w:tcPr>
          <w:p w:rsidR="00C17954" w:rsidRPr="00C17954" w:rsidRDefault="00C17954" w:rsidP="000B336F">
            <w:pPr>
              <w:jc w:val="right"/>
              <w:rPr>
                <w:sz w:val="20"/>
                <w:szCs w:val="20"/>
              </w:rPr>
            </w:pPr>
            <w:r w:rsidRPr="00C17954">
              <w:rPr>
                <w:sz w:val="20"/>
                <w:szCs w:val="20"/>
              </w:rPr>
              <w:t>626.451</w:t>
            </w:r>
          </w:p>
        </w:tc>
        <w:tc>
          <w:tcPr>
            <w:tcW w:w="628" w:type="pct"/>
            <w:noWrap/>
            <w:vAlign w:val="bottom"/>
          </w:tcPr>
          <w:p w:rsidR="00C17954" w:rsidRPr="00C17954" w:rsidRDefault="00C17954" w:rsidP="000B336F">
            <w:pPr>
              <w:jc w:val="right"/>
              <w:rPr>
                <w:sz w:val="20"/>
                <w:szCs w:val="20"/>
              </w:rPr>
            </w:pPr>
            <w:r w:rsidRPr="00C17954">
              <w:rPr>
                <w:sz w:val="20"/>
                <w:szCs w:val="20"/>
              </w:rPr>
              <w:t>630.968</w:t>
            </w:r>
          </w:p>
        </w:tc>
        <w:tc>
          <w:tcPr>
            <w:tcW w:w="628" w:type="pct"/>
            <w:noWrap/>
            <w:vAlign w:val="bottom"/>
          </w:tcPr>
          <w:p w:rsidR="00C17954" w:rsidRPr="00C17954" w:rsidRDefault="00C17954" w:rsidP="000B336F">
            <w:pPr>
              <w:jc w:val="right"/>
              <w:rPr>
                <w:sz w:val="20"/>
                <w:szCs w:val="20"/>
              </w:rPr>
            </w:pPr>
            <w:r w:rsidRPr="00C17954">
              <w:rPr>
                <w:sz w:val="20"/>
                <w:szCs w:val="20"/>
              </w:rPr>
              <w:t>575.827</w:t>
            </w:r>
          </w:p>
        </w:tc>
        <w:tc>
          <w:tcPr>
            <w:tcW w:w="629" w:type="pct"/>
            <w:noWrap/>
            <w:vAlign w:val="bottom"/>
          </w:tcPr>
          <w:p w:rsidR="00C17954" w:rsidRPr="00C17954" w:rsidRDefault="00C17954" w:rsidP="000B336F">
            <w:pPr>
              <w:jc w:val="right"/>
              <w:rPr>
                <w:sz w:val="20"/>
                <w:szCs w:val="20"/>
              </w:rPr>
            </w:pPr>
            <w:r w:rsidRPr="00C17954">
              <w:rPr>
                <w:sz w:val="20"/>
                <w:szCs w:val="20"/>
              </w:rPr>
              <w:t>552.602</w:t>
            </w:r>
          </w:p>
        </w:tc>
        <w:tc>
          <w:tcPr>
            <w:tcW w:w="628" w:type="pct"/>
            <w:vAlign w:val="bottom"/>
          </w:tcPr>
          <w:p w:rsidR="00C17954" w:rsidRPr="00C17954" w:rsidRDefault="00C17954" w:rsidP="000B336F">
            <w:pPr>
              <w:jc w:val="right"/>
              <w:rPr>
                <w:sz w:val="20"/>
                <w:szCs w:val="20"/>
              </w:rPr>
            </w:pPr>
            <w:r w:rsidRPr="00C17954">
              <w:rPr>
                <w:sz w:val="20"/>
                <w:szCs w:val="20"/>
              </w:rPr>
              <w:t>233.984</w:t>
            </w:r>
          </w:p>
        </w:tc>
        <w:tc>
          <w:tcPr>
            <w:tcW w:w="625" w:type="pct"/>
            <w:vAlign w:val="bottom"/>
          </w:tcPr>
          <w:p w:rsidR="00C17954" w:rsidRPr="00C17954" w:rsidRDefault="00C17954" w:rsidP="000B336F">
            <w:pPr>
              <w:jc w:val="right"/>
              <w:rPr>
                <w:sz w:val="20"/>
                <w:szCs w:val="20"/>
              </w:rPr>
            </w:pPr>
            <w:r w:rsidRPr="00C17954">
              <w:rPr>
                <w:sz w:val="20"/>
                <w:szCs w:val="20"/>
              </w:rPr>
              <w:t>10,95</w:t>
            </w:r>
          </w:p>
        </w:tc>
      </w:tr>
      <w:tr w:rsidR="00C17954" w:rsidRPr="00815232" w:rsidTr="00F8654F">
        <w:trPr>
          <w:trHeight w:val="300"/>
        </w:trPr>
        <w:tc>
          <w:tcPr>
            <w:tcW w:w="669" w:type="pct"/>
            <w:vAlign w:val="center"/>
          </w:tcPr>
          <w:p w:rsidR="00C17954" w:rsidRPr="00C17954" w:rsidRDefault="00C17954" w:rsidP="00C17954">
            <w:pPr>
              <w:rPr>
                <w:sz w:val="20"/>
                <w:szCs w:val="20"/>
              </w:rPr>
            </w:pPr>
            <w:r w:rsidRPr="00C17954">
              <w:rPr>
                <w:sz w:val="20"/>
                <w:szCs w:val="20"/>
              </w:rPr>
              <w:t>Malezya</w:t>
            </w:r>
          </w:p>
        </w:tc>
        <w:tc>
          <w:tcPr>
            <w:tcW w:w="565" w:type="pct"/>
            <w:noWrap/>
            <w:vAlign w:val="bottom"/>
          </w:tcPr>
          <w:p w:rsidR="00C17954" w:rsidRPr="00C17954" w:rsidRDefault="00C17954" w:rsidP="000B336F">
            <w:pPr>
              <w:jc w:val="right"/>
              <w:rPr>
                <w:sz w:val="20"/>
                <w:szCs w:val="20"/>
              </w:rPr>
            </w:pPr>
            <w:r w:rsidRPr="00C17954">
              <w:rPr>
                <w:sz w:val="20"/>
                <w:szCs w:val="20"/>
              </w:rPr>
              <w:t>22.869</w:t>
            </w:r>
          </w:p>
        </w:tc>
        <w:tc>
          <w:tcPr>
            <w:tcW w:w="628" w:type="pct"/>
            <w:noWrap/>
            <w:vAlign w:val="bottom"/>
          </w:tcPr>
          <w:p w:rsidR="00C17954" w:rsidRPr="00C17954" w:rsidRDefault="00C17954" w:rsidP="000B336F">
            <w:pPr>
              <w:jc w:val="right"/>
              <w:rPr>
                <w:sz w:val="20"/>
                <w:szCs w:val="20"/>
              </w:rPr>
            </w:pPr>
            <w:r w:rsidRPr="00C17954">
              <w:rPr>
                <w:sz w:val="20"/>
                <w:szCs w:val="20"/>
              </w:rPr>
              <w:t>37.374</w:t>
            </w:r>
          </w:p>
        </w:tc>
        <w:tc>
          <w:tcPr>
            <w:tcW w:w="628" w:type="pct"/>
            <w:noWrap/>
            <w:vAlign w:val="bottom"/>
          </w:tcPr>
          <w:p w:rsidR="00C17954" w:rsidRPr="00C17954" w:rsidRDefault="00C17954" w:rsidP="000B336F">
            <w:pPr>
              <w:jc w:val="right"/>
              <w:rPr>
                <w:sz w:val="20"/>
                <w:szCs w:val="20"/>
              </w:rPr>
            </w:pPr>
            <w:r w:rsidRPr="00C17954">
              <w:rPr>
                <w:sz w:val="20"/>
                <w:szCs w:val="20"/>
              </w:rPr>
              <w:t>7.541</w:t>
            </w:r>
          </w:p>
        </w:tc>
        <w:tc>
          <w:tcPr>
            <w:tcW w:w="628" w:type="pct"/>
            <w:noWrap/>
            <w:vAlign w:val="bottom"/>
          </w:tcPr>
          <w:p w:rsidR="00C17954" w:rsidRPr="00C17954" w:rsidRDefault="00C17954" w:rsidP="000B336F">
            <w:pPr>
              <w:jc w:val="right"/>
              <w:rPr>
                <w:sz w:val="20"/>
                <w:szCs w:val="20"/>
              </w:rPr>
            </w:pPr>
            <w:r w:rsidRPr="00C17954">
              <w:rPr>
                <w:sz w:val="20"/>
                <w:szCs w:val="20"/>
              </w:rPr>
              <w:t>5.707</w:t>
            </w:r>
          </w:p>
        </w:tc>
        <w:tc>
          <w:tcPr>
            <w:tcW w:w="629" w:type="pct"/>
            <w:noWrap/>
            <w:vAlign w:val="bottom"/>
          </w:tcPr>
          <w:p w:rsidR="00C17954" w:rsidRPr="00C17954" w:rsidRDefault="00C17954" w:rsidP="000B336F">
            <w:pPr>
              <w:jc w:val="right"/>
              <w:rPr>
                <w:sz w:val="20"/>
                <w:szCs w:val="20"/>
              </w:rPr>
            </w:pPr>
            <w:r w:rsidRPr="00C17954">
              <w:rPr>
                <w:sz w:val="20"/>
                <w:szCs w:val="20"/>
              </w:rPr>
              <w:t>88.022</w:t>
            </w:r>
          </w:p>
        </w:tc>
        <w:tc>
          <w:tcPr>
            <w:tcW w:w="628" w:type="pct"/>
            <w:vAlign w:val="bottom"/>
          </w:tcPr>
          <w:p w:rsidR="00C17954" w:rsidRPr="00C17954" w:rsidRDefault="00C17954" w:rsidP="000B336F">
            <w:pPr>
              <w:jc w:val="right"/>
              <w:rPr>
                <w:sz w:val="20"/>
                <w:szCs w:val="20"/>
              </w:rPr>
            </w:pPr>
            <w:r w:rsidRPr="00C17954">
              <w:rPr>
                <w:sz w:val="20"/>
                <w:szCs w:val="20"/>
              </w:rPr>
              <w:t>109.237</w:t>
            </w:r>
          </w:p>
        </w:tc>
        <w:tc>
          <w:tcPr>
            <w:tcW w:w="625" w:type="pct"/>
            <w:vAlign w:val="bottom"/>
          </w:tcPr>
          <w:p w:rsidR="00C17954" w:rsidRPr="00C17954" w:rsidRDefault="00C17954" w:rsidP="000B336F">
            <w:pPr>
              <w:jc w:val="right"/>
              <w:rPr>
                <w:sz w:val="20"/>
                <w:szCs w:val="20"/>
              </w:rPr>
            </w:pPr>
            <w:r w:rsidRPr="00C17954">
              <w:rPr>
                <w:sz w:val="20"/>
                <w:szCs w:val="20"/>
              </w:rPr>
              <w:t>5,11</w:t>
            </w:r>
          </w:p>
        </w:tc>
      </w:tr>
      <w:tr w:rsidR="00C17954" w:rsidRPr="00815232" w:rsidTr="00F8654F">
        <w:trPr>
          <w:trHeight w:val="300"/>
        </w:trPr>
        <w:tc>
          <w:tcPr>
            <w:tcW w:w="669" w:type="pct"/>
            <w:vAlign w:val="center"/>
          </w:tcPr>
          <w:p w:rsidR="00C17954" w:rsidRPr="00C17954" w:rsidRDefault="00C17954" w:rsidP="00C17954">
            <w:pPr>
              <w:rPr>
                <w:sz w:val="20"/>
                <w:szCs w:val="20"/>
              </w:rPr>
            </w:pPr>
            <w:r w:rsidRPr="00C17954">
              <w:rPr>
                <w:sz w:val="20"/>
                <w:szCs w:val="20"/>
              </w:rPr>
              <w:t>Japonya</w:t>
            </w:r>
          </w:p>
        </w:tc>
        <w:tc>
          <w:tcPr>
            <w:tcW w:w="565" w:type="pct"/>
            <w:noWrap/>
            <w:vAlign w:val="bottom"/>
          </w:tcPr>
          <w:p w:rsidR="00C17954" w:rsidRPr="00C17954" w:rsidRDefault="00C17954" w:rsidP="000B336F">
            <w:pPr>
              <w:jc w:val="right"/>
              <w:rPr>
                <w:sz w:val="20"/>
                <w:szCs w:val="20"/>
              </w:rPr>
            </w:pPr>
            <w:r w:rsidRPr="00C17954">
              <w:rPr>
                <w:sz w:val="20"/>
                <w:szCs w:val="20"/>
              </w:rPr>
              <w:t>117.221</w:t>
            </w:r>
          </w:p>
        </w:tc>
        <w:tc>
          <w:tcPr>
            <w:tcW w:w="628" w:type="pct"/>
            <w:noWrap/>
            <w:vAlign w:val="bottom"/>
          </w:tcPr>
          <w:p w:rsidR="00C17954" w:rsidRPr="00C17954" w:rsidRDefault="00C17954" w:rsidP="000B336F">
            <w:pPr>
              <w:jc w:val="right"/>
              <w:rPr>
                <w:sz w:val="20"/>
                <w:szCs w:val="20"/>
              </w:rPr>
            </w:pPr>
            <w:r w:rsidRPr="00C17954">
              <w:rPr>
                <w:sz w:val="20"/>
                <w:szCs w:val="20"/>
              </w:rPr>
              <w:t>178.211</w:t>
            </w:r>
          </w:p>
        </w:tc>
        <w:tc>
          <w:tcPr>
            <w:tcW w:w="628" w:type="pct"/>
            <w:noWrap/>
            <w:vAlign w:val="bottom"/>
          </w:tcPr>
          <w:p w:rsidR="00C17954" w:rsidRPr="00C17954" w:rsidRDefault="00C17954" w:rsidP="000B336F">
            <w:pPr>
              <w:jc w:val="right"/>
              <w:rPr>
                <w:sz w:val="20"/>
                <w:szCs w:val="20"/>
              </w:rPr>
            </w:pPr>
            <w:r w:rsidRPr="00C17954">
              <w:rPr>
                <w:sz w:val="20"/>
                <w:szCs w:val="20"/>
              </w:rPr>
              <w:t>182.623</w:t>
            </w:r>
          </w:p>
        </w:tc>
        <w:tc>
          <w:tcPr>
            <w:tcW w:w="628" w:type="pct"/>
            <w:noWrap/>
            <w:vAlign w:val="bottom"/>
          </w:tcPr>
          <w:p w:rsidR="00C17954" w:rsidRPr="00C17954" w:rsidRDefault="00C17954" w:rsidP="000B336F">
            <w:pPr>
              <w:jc w:val="right"/>
              <w:rPr>
                <w:sz w:val="20"/>
                <w:szCs w:val="20"/>
              </w:rPr>
            </w:pPr>
            <w:r w:rsidRPr="00C17954">
              <w:rPr>
                <w:sz w:val="20"/>
                <w:szCs w:val="20"/>
              </w:rPr>
              <w:t>119.923</w:t>
            </w:r>
          </w:p>
        </w:tc>
        <w:tc>
          <w:tcPr>
            <w:tcW w:w="629" w:type="pct"/>
            <w:noWrap/>
            <w:vAlign w:val="bottom"/>
          </w:tcPr>
          <w:p w:rsidR="00C17954" w:rsidRPr="00C17954" w:rsidRDefault="00C17954" w:rsidP="000B336F">
            <w:pPr>
              <w:jc w:val="right"/>
              <w:rPr>
                <w:sz w:val="20"/>
                <w:szCs w:val="20"/>
              </w:rPr>
            </w:pPr>
            <w:r w:rsidRPr="00C17954">
              <w:rPr>
                <w:sz w:val="20"/>
                <w:szCs w:val="20"/>
              </w:rPr>
              <w:t>86.520</w:t>
            </w:r>
          </w:p>
        </w:tc>
        <w:tc>
          <w:tcPr>
            <w:tcW w:w="628" w:type="pct"/>
            <w:vAlign w:val="bottom"/>
          </w:tcPr>
          <w:p w:rsidR="00C17954" w:rsidRPr="00C17954" w:rsidRDefault="00C17954" w:rsidP="000B336F">
            <w:pPr>
              <w:jc w:val="right"/>
              <w:rPr>
                <w:sz w:val="20"/>
                <w:szCs w:val="20"/>
              </w:rPr>
            </w:pPr>
            <w:r w:rsidRPr="00C17954">
              <w:rPr>
                <w:sz w:val="20"/>
                <w:szCs w:val="20"/>
              </w:rPr>
              <w:t>104.321</w:t>
            </w:r>
          </w:p>
        </w:tc>
        <w:tc>
          <w:tcPr>
            <w:tcW w:w="625" w:type="pct"/>
            <w:vAlign w:val="bottom"/>
          </w:tcPr>
          <w:p w:rsidR="00C17954" w:rsidRPr="00C17954" w:rsidRDefault="00C17954" w:rsidP="000B336F">
            <w:pPr>
              <w:jc w:val="right"/>
              <w:rPr>
                <w:sz w:val="20"/>
                <w:szCs w:val="20"/>
              </w:rPr>
            </w:pPr>
            <w:r w:rsidRPr="00C17954">
              <w:rPr>
                <w:sz w:val="20"/>
                <w:szCs w:val="20"/>
              </w:rPr>
              <w:t>4,88</w:t>
            </w:r>
          </w:p>
        </w:tc>
      </w:tr>
      <w:tr w:rsidR="00C17954" w:rsidRPr="00815232" w:rsidTr="00F8654F">
        <w:trPr>
          <w:trHeight w:val="300"/>
        </w:trPr>
        <w:tc>
          <w:tcPr>
            <w:tcW w:w="669" w:type="pct"/>
            <w:vAlign w:val="center"/>
          </w:tcPr>
          <w:p w:rsidR="00C17954" w:rsidRPr="00C17954" w:rsidRDefault="00C17954" w:rsidP="00C17954">
            <w:pPr>
              <w:rPr>
                <w:sz w:val="20"/>
                <w:szCs w:val="20"/>
              </w:rPr>
            </w:pPr>
            <w:r w:rsidRPr="00C17954">
              <w:rPr>
                <w:sz w:val="20"/>
                <w:szCs w:val="20"/>
              </w:rPr>
              <w:t>Endonezya</w:t>
            </w:r>
          </w:p>
        </w:tc>
        <w:tc>
          <w:tcPr>
            <w:tcW w:w="565" w:type="pct"/>
            <w:noWrap/>
            <w:vAlign w:val="bottom"/>
          </w:tcPr>
          <w:p w:rsidR="00C17954" w:rsidRPr="00C17954" w:rsidRDefault="00C17954" w:rsidP="000B336F">
            <w:pPr>
              <w:jc w:val="right"/>
              <w:rPr>
                <w:sz w:val="20"/>
                <w:szCs w:val="20"/>
              </w:rPr>
            </w:pPr>
            <w:r w:rsidRPr="00C17954">
              <w:rPr>
                <w:sz w:val="20"/>
                <w:szCs w:val="20"/>
              </w:rPr>
              <w:t>10.355</w:t>
            </w:r>
          </w:p>
        </w:tc>
        <w:tc>
          <w:tcPr>
            <w:tcW w:w="628" w:type="pct"/>
            <w:noWrap/>
            <w:vAlign w:val="bottom"/>
          </w:tcPr>
          <w:p w:rsidR="00C17954" w:rsidRPr="00C17954" w:rsidRDefault="00C17954" w:rsidP="000B336F">
            <w:pPr>
              <w:jc w:val="right"/>
              <w:rPr>
                <w:sz w:val="20"/>
                <w:szCs w:val="20"/>
              </w:rPr>
            </w:pPr>
            <w:r w:rsidRPr="00C17954">
              <w:rPr>
                <w:sz w:val="20"/>
                <w:szCs w:val="20"/>
              </w:rPr>
              <w:t>19.160</w:t>
            </w:r>
          </w:p>
        </w:tc>
        <w:tc>
          <w:tcPr>
            <w:tcW w:w="628" w:type="pct"/>
            <w:noWrap/>
            <w:vAlign w:val="bottom"/>
          </w:tcPr>
          <w:p w:rsidR="00C17954" w:rsidRPr="00C17954" w:rsidRDefault="00C17954" w:rsidP="000B336F">
            <w:pPr>
              <w:jc w:val="right"/>
              <w:rPr>
                <w:sz w:val="20"/>
                <w:szCs w:val="20"/>
              </w:rPr>
            </w:pPr>
            <w:r w:rsidRPr="00C17954">
              <w:rPr>
                <w:sz w:val="20"/>
                <w:szCs w:val="20"/>
              </w:rPr>
              <w:t>20.976</w:t>
            </w:r>
          </w:p>
        </w:tc>
        <w:tc>
          <w:tcPr>
            <w:tcW w:w="628" w:type="pct"/>
            <w:noWrap/>
            <w:vAlign w:val="bottom"/>
          </w:tcPr>
          <w:p w:rsidR="00C17954" w:rsidRPr="00C17954" w:rsidRDefault="00C17954" w:rsidP="000B336F">
            <w:pPr>
              <w:jc w:val="right"/>
              <w:rPr>
                <w:sz w:val="20"/>
                <w:szCs w:val="20"/>
              </w:rPr>
            </w:pPr>
            <w:r w:rsidRPr="00C17954">
              <w:rPr>
                <w:sz w:val="20"/>
                <w:szCs w:val="20"/>
              </w:rPr>
              <w:t>32.802</w:t>
            </w:r>
          </w:p>
        </w:tc>
        <w:tc>
          <w:tcPr>
            <w:tcW w:w="629" w:type="pct"/>
            <w:noWrap/>
            <w:vAlign w:val="bottom"/>
          </w:tcPr>
          <w:p w:rsidR="00C17954" w:rsidRPr="00C17954" w:rsidRDefault="00C17954" w:rsidP="000B336F">
            <w:pPr>
              <w:jc w:val="right"/>
              <w:rPr>
                <w:sz w:val="20"/>
                <w:szCs w:val="20"/>
              </w:rPr>
            </w:pPr>
            <w:r w:rsidRPr="00C17954">
              <w:rPr>
                <w:sz w:val="20"/>
                <w:szCs w:val="20"/>
              </w:rPr>
              <w:t>52.165</w:t>
            </w:r>
          </w:p>
        </w:tc>
        <w:tc>
          <w:tcPr>
            <w:tcW w:w="628" w:type="pct"/>
            <w:vAlign w:val="bottom"/>
          </w:tcPr>
          <w:p w:rsidR="00C17954" w:rsidRPr="00C17954" w:rsidRDefault="00C17954" w:rsidP="000B336F">
            <w:pPr>
              <w:jc w:val="right"/>
              <w:rPr>
                <w:sz w:val="20"/>
                <w:szCs w:val="20"/>
              </w:rPr>
            </w:pPr>
            <w:r w:rsidRPr="00C17954">
              <w:rPr>
                <w:sz w:val="20"/>
                <w:szCs w:val="20"/>
              </w:rPr>
              <w:t>39.359</w:t>
            </w:r>
          </w:p>
        </w:tc>
        <w:tc>
          <w:tcPr>
            <w:tcW w:w="625" w:type="pct"/>
            <w:vAlign w:val="bottom"/>
          </w:tcPr>
          <w:p w:rsidR="00C17954" w:rsidRPr="00C17954" w:rsidRDefault="00C17954" w:rsidP="000B336F">
            <w:pPr>
              <w:jc w:val="right"/>
              <w:rPr>
                <w:sz w:val="20"/>
                <w:szCs w:val="20"/>
              </w:rPr>
            </w:pPr>
            <w:r w:rsidRPr="00C17954">
              <w:rPr>
                <w:sz w:val="20"/>
                <w:szCs w:val="20"/>
              </w:rPr>
              <w:t>1,84</w:t>
            </w:r>
          </w:p>
        </w:tc>
      </w:tr>
      <w:tr w:rsidR="00C17954" w:rsidRPr="00815232" w:rsidTr="00F8654F">
        <w:trPr>
          <w:trHeight w:val="300"/>
        </w:trPr>
        <w:tc>
          <w:tcPr>
            <w:tcW w:w="669" w:type="pct"/>
            <w:vAlign w:val="center"/>
          </w:tcPr>
          <w:p w:rsidR="00C17954" w:rsidRPr="00C17954" w:rsidRDefault="00C17954" w:rsidP="00C17954">
            <w:pPr>
              <w:rPr>
                <w:sz w:val="20"/>
                <w:szCs w:val="20"/>
              </w:rPr>
            </w:pPr>
            <w:r w:rsidRPr="00C17954">
              <w:rPr>
                <w:sz w:val="20"/>
                <w:szCs w:val="20"/>
              </w:rPr>
              <w:t>Polonya</w:t>
            </w:r>
          </w:p>
        </w:tc>
        <w:tc>
          <w:tcPr>
            <w:tcW w:w="565" w:type="pct"/>
            <w:noWrap/>
            <w:vAlign w:val="bottom"/>
          </w:tcPr>
          <w:p w:rsidR="00C17954" w:rsidRPr="00C17954" w:rsidRDefault="00C17954" w:rsidP="000B336F">
            <w:pPr>
              <w:jc w:val="right"/>
              <w:rPr>
                <w:sz w:val="20"/>
                <w:szCs w:val="20"/>
              </w:rPr>
            </w:pPr>
            <w:r w:rsidRPr="00C17954">
              <w:rPr>
                <w:sz w:val="20"/>
                <w:szCs w:val="20"/>
              </w:rPr>
              <w:t>0</w:t>
            </w:r>
          </w:p>
        </w:tc>
        <w:tc>
          <w:tcPr>
            <w:tcW w:w="628" w:type="pct"/>
            <w:noWrap/>
            <w:vAlign w:val="bottom"/>
          </w:tcPr>
          <w:p w:rsidR="00C17954" w:rsidRPr="00C17954" w:rsidRDefault="00C17954" w:rsidP="000B336F">
            <w:pPr>
              <w:jc w:val="right"/>
              <w:rPr>
                <w:sz w:val="20"/>
                <w:szCs w:val="20"/>
              </w:rPr>
            </w:pPr>
            <w:r w:rsidRPr="00C17954">
              <w:rPr>
                <w:sz w:val="20"/>
                <w:szCs w:val="20"/>
              </w:rPr>
              <w:t>0</w:t>
            </w:r>
          </w:p>
        </w:tc>
        <w:tc>
          <w:tcPr>
            <w:tcW w:w="628" w:type="pct"/>
            <w:noWrap/>
            <w:vAlign w:val="bottom"/>
          </w:tcPr>
          <w:p w:rsidR="00C17954" w:rsidRPr="00C17954" w:rsidRDefault="00C17954" w:rsidP="000B336F">
            <w:pPr>
              <w:jc w:val="right"/>
              <w:rPr>
                <w:sz w:val="20"/>
                <w:szCs w:val="20"/>
              </w:rPr>
            </w:pPr>
            <w:r w:rsidRPr="00C17954">
              <w:rPr>
                <w:sz w:val="20"/>
                <w:szCs w:val="20"/>
              </w:rPr>
              <w:t>0</w:t>
            </w:r>
          </w:p>
        </w:tc>
        <w:tc>
          <w:tcPr>
            <w:tcW w:w="628" w:type="pct"/>
            <w:noWrap/>
            <w:vAlign w:val="bottom"/>
          </w:tcPr>
          <w:p w:rsidR="00C17954" w:rsidRPr="00C17954" w:rsidRDefault="00C17954" w:rsidP="000B336F">
            <w:pPr>
              <w:jc w:val="right"/>
              <w:rPr>
                <w:sz w:val="20"/>
                <w:szCs w:val="20"/>
              </w:rPr>
            </w:pPr>
            <w:r w:rsidRPr="00C17954">
              <w:rPr>
                <w:sz w:val="20"/>
                <w:szCs w:val="20"/>
              </w:rPr>
              <w:t>5.914</w:t>
            </w:r>
          </w:p>
        </w:tc>
        <w:tc>
          <w:tcPr>
            <w:tcW w:w="629" w:type="pct"/>
            <w:noWrap/>
            <w:vAlign w:val="bottom"/>
          </w:tcPr>
          <w:p w:rsidR="00C17954" w:rsidRPr="00C17954" w:rsidRDefault="00C17954" w:rsidP="000B336F">
            <w:pPr>
              <w:jc w:val="right"/>
              <w:rPr>
                <w:sz w:val="20"/>
                <w:szCs w:val="20"/>
              </w:rPr>
            </w:pPr>
            <w:r w:rsidRPr="00C17954">
              <w:rPr>
                <w:sz w:val="20"/>
                <w:szCs w:val="20"/>
              </w:rPr>
              <w:t>38.984</w:t>
            </w:r>
          </w:p>
        </w:tc>
        <w:tc>
          <w:tcPr>
            <w:tcW w:w="628" w:type="pct"/>
            <w:vAlign w:val="bottom"/>
          </w:tcPr>
          <w:p w:rsidR="00C17954" w:rsidRPr="00C17954" w:rsidRDefault="00C17954" w:rsidP="000B336F">
            <w:pPr>
              <w:jc w:val="right"/>
              <w:rPr>
                <w:sz w:val="20"/>
                <w:szCs w:val="20"/>
              </w:rPr>
            </w:pPr>
            <w:r w:rsidRPr="00C17954">
              <w:rPr>
                <w:sz w:val="20"/>
                <w:szCs w:val="20"/>
              </w:rPr>
              <w:t>12.364</w:t>
            </w:r>
          </w:p>
        </w:tc>
        <w:tc>
          <w:tcPr>
            <w:tcW w:w="625" w:type="pct"/>
            <w:vAlign w:val="bottom"/>
          </w:tcPr>
          <w:p w:rsidR="00C17954" w:rsidRPr="00C17954" w:rsidRDefault="00C17954" w:rsidP="000B336F">
            <w:pPr>
              <w:jc w:val="right"/>
              <w:rPr>
                <w:sz w:val="20"/>
                <w:szCs w:val="20"/>
              </w:rPr>
            </w:pPr>
            <w:r w:rsidRPr="00C17954">
              <w:rPr>
                <w:sz w:val="20"/>
                <w:szCs w:val="20"/>
              </w:rPr>
              <w:t>0,58</w:t>
            </w:r>
          </w:p>
        </w:tc>
      </w:tr>
      <w:tr w:rsidR="00C17954" w:rsidRPr="00815232" w:rsidTr="00F8654F">
        <w:trPr>
          <w:trHeight w:val="300"/>
        </w:trPr>
        <w:tc>
          <w:tcPr>
            <w:tcW w:w="669" w:type="pct"/>
            <w:vAlign w:val="center"/>
          </w:tcPr>
          <w:p w:rsidR="00C17954" w:rsidRPr="00C17954" w:rsidRDefault="00C17954" w:rsidP="00C17954">
            <w:pPr>
              <w:rPr>
                <w:sz w:val="20"/>
                <w:szCs w:val="20"/>
              </w:rPr>
            </w:pPr>
            <w:r w:rsidRPr="00C17954">
              <w:rPr>
                <w:sz w:val="20"/>
                <w:szCs w:val="20"/>
              </w:rPr>
              <w:t xml:space="preserve">Iran </w:t>
            </w:r>
          </w:p>
        </w:tc>
        <w:tc>
          <w:tcPr>
            <w:tcW w:w="565" w:type="pct"/>
            <w:noWrap/>
            <w:vAlign w:val="bottom"/>
          </w:tcPr>
          <w:p w:rsidR="00C17954" w:rsidRPr="00C17954" w:rsidRDefault="00C17954" w:rsidP="000B336F">
            <w:pPr>
              <w:jc w:val="right"/>
              <w:rPr>
                <w:sz w:val="20"/>
                <w:szCs w:val="20"/>
              </w:rPr>
            </w:pPr>
            <w:r w:rsidRPr="00C17954">
              <w:rPr>
                <w:sz w:val="20"/>
                <w:szCs w:val="20"/>
              </w:rPr>
              <w:t>52.085</w:t>
            </w:r>
          </w:p>
        </w:tc>
        <w:tc>
          <w:tcPr>
            <w:tcW w:w="628" w:type="pct"/>
            <w:noWrap/>
            <w:vAlign w:val="bottom"/>
          </w:tcPr>
          <w:p w:rsidR="00C17954" w:rsidRPr="00C17954" w:rsidRDefault="00C17954" w:rsidP="000B336F">
            <w:pPr>
              <w:jc w:val="right"/>
              <w:rPr>
                <w:sz w:val="20"/>
                <w:szCs w:val="20"/>
              </w:rPr>
            </w:pPr>
            <w:r w:rsidRPr="00C17954">
              <w:rPr>
                <w:sz w:val="20"/>
                <w:szCs w:val="20"/>
              </w:rPr>
              <w:t>9.800</w:t>
            </w:r>
          </w:p>
        </w:tc>
        <w:tc>
          <w:tcPr>
            <w:tcW w:w="628" w:type="pct"/>
            <w:noWrap/>
            <w:vAlign w:val="bottom"/>
          </w:tcPr>
          <w:p w:rsidR="00C17954" w:rsidRPr="00C17954" w:rsidRDefault="00C17954" w:rsidP="000B336F">
            <w:pPr>
              <w:jc w:val="right"/>
              <w:rPr>
                <w:sz w:val="20"/>
                <w:szCs w:val="20"/>
              </w:rPr>
            </w:pPr>
            <w:r w:rsidRPr="00C17954">
              <w:rPr>
                <w:sz w:val="20"/>
                <w:szCs w:val="20"/>
              </w:rPr>
              <w:t>2.000</w:t>
            </w:r>
          </w:p>
        </w:tc>
        <w:tc>
          <w:tcPr>
            <w:tcW w:w="628" w:type="pct"/>
            <w:noWrap/>
            <w:vAlign w:val="bottom"/>
          </w:tcPr>
          <w:p w:rsidR="00C17954" w:rsidRPr="00C17954" w:rsidRDefault="00C17954" w:rsidP="000B336F">
            <w:pPr>
              <w:jc w:val="right"/>
              <w:rPr>
                <w:sz w:val="20"/>
                <w:szCs w:val="20"/>
              </w:rPr>
            </w:pPr>
            <w:r w:rsidRPr="00C17954">
              <w:rPr>
                <w:sz w:val="20"/>
                <w:szCs w:val="20"/>
              </w:rPr>
              <w:t>1.000</w:t>
            </w:r>
          </w:p>
        </w:tc>
        <w:tc>
          <w:tcPr>
            <w:tcW w:w="629" w:type="pct"/>
            <w:noWrap/>
            <w:vAlign w:val="bottom"/>
          </w:tcPr>
          <w:p w:rsidR="00C17954" w:rsidRPr="00C17954" w:rsidRDefault="00C17954" w:rsidP="000B336F">
            <w:pPr>
              <w:jc w:val="right"/>
              <w:rPr>
                <w:sz w:val="20"/>
                <w:szCs w:val="20"/>
              </w:rPr>
            </w:pPr>
            <w:r w:rsidRPr="00C17954">
              <w:rPr>
                <w:sz w:val="20"/>
                <w:szCs w:val="20"/>
              </w:rPr>
              <w:t>680</w:t>
            </w:r>
          </w:p>
        </w:tc>
        <w:tc>
          <w:tcPr>
            <w:tcW w:w="628" w:type="pct"/>
            <w:vAlign w:val="bottom"/>
          </w:tcPr>
          <w:p w:rsidR="00C17954" w:rsidRPr="00C17954" w:rsidRDefault="00C17954" w:rsidP="000B336F">
            <w:pPr>
              <w:jc w:val="right"/>
              <w:rPr>
                <w:sz w:val="20"/>
                <w:szCs w:val="20"/>
              </w:rPr>
            </w:pPr>
            <w:r w:rsidRPr="00C17954">
              <w:rPr>
                <w:sz w:val="20"/>
                <w:szCs w:val="20"/>
              </w:rPr>
              <w:t>3.558</w:t>
            </w:r>
          </w:p>
        </w:tc>
        <w:tc>
          <w:tcPr>
            <w:tcW w:w="625" w:type="pct"/>
            <w:vAlign w:val="bottom"/>
          </w:tcPr>
          <w:p w:rsidR="00C17954" w:rsidRPr="00C17954" w:rsidRDefault="00C17954" w:rsidP="000B336F">
            <w:pPr>
              <w:jc w:val="right"/>
              <w:rPr>
                <w:sz w:val="20"/>
                <w:szCs w:val="20"/>
              </w:rPr>
            </w:pPr>
            <w:r w:rsidRPr="00C17954">
              <w:rPr>
                <w:sz w:val="20"/>
                <w:szCs w:val="20"/>
              </w:rPr>
              <w:t>0,17</w:t>
            </w:r>
          </w:p>
        </w:tc>
      </w:tr>
      <w:tr w:rsidR="00C17954" w:rsidRPr="00815232" w:rsidTr="00F8654F">
        <w:trPr>
          <w:trHeight w:val="300"/>
        </w:trPr>
        <w:tc>
          <w:tcPr>
            <w:tcW w:w="669" w:type="pct"/>
            <w:vAlign w:val="center"/>
          </w:tcPr>
          <w:p w:rsidR="00C17954" w:rsidRPr="00C17954" w:rsidRDefault="00C17954" w:rsidP="00C17954">
            <w:pPr>
              <w:rPr>
                <w:sz w:val="20"/>
                <w:szCs w:val="20"/>
              </w:rPr>
            </w:pPr>
            <w:r w:rsidRPr="00C17954">
              <w:rPr>
                <w:sz w:val="20"/>
                <w:szCs w:val="20"/>
              </w:rPr>
              <w:t>Hindistan</w:t>
            </w:r>
          </w:p>
        </w:tc>
        <w:tc>
          <w:tcPr>
            <w:tcW w:w="565" w:type="pct"/>
            <w:noWrap/>
            <w:vAlign w:val="bottom"/>
          </w:tcPr>
          <w:p w:rsidR="00C17954" w:rsidRPr="00C17954" w:rsidRDefault="00C17954" w:rsidP="000B336F">
            <w:pPr>
              <w:jc w:val="right"/>
              <w:rPr>
                <w:sz w:val="20"/>
                <w:szCs w:val="20"/>
              </w:rPr>
            </w:pPr>
            <w:r w:rsidRPr="00C17954">
              <w:rPr>
                <w:sz w:val="20"/>
                <w:szCs w:val="20"/>
              </w:rPr>
              <w:t>0</w:t>
            </w:r>
          </w:p>
        </w:tc>
        <w:tc>
          <w:tcPr>
            <w:tcW w:w="628" w:type="pct"/>
            <w:noWrap/>
            <w:vAlign w:val="bottom"/>
          </w:tcPr>
          <w:p w:rsidR="00C17954" w:rsidRPr="00C17954" w:rsidRDefault="00C17954" w:rsidP="000B336F">
            <w:pPr>
              <w:jc w:val="right"/>
              <w:rPr>
                <w:sz w:val="20"/>
                <w:szCs w:val="20"/>
              </w:rPr>
            </w:pPr>
            <w:r w:rsidRPr="00C17954">
              <w:rPr>
                <w:sz w:val="20"/>
                <w:szCs w:val="20"/>
              </w:rPr>
              <w:t>36</w:t>
            </w:r>
          </w:p>
        </w:tc>
        <w:tc>
          <w:tcPr>
            <w:tcW w:w="628" w:type="pct"/>
            <w:noWrap/>
            <w:vAlign w:val="bottom"/>
          </w:tcPr>
          <w:p w:rsidR="00C17954" w:rsidRPr="00C17954" w:rsidRDefault="00C17954" w:rsidP="000B336F">
            <w:pPr>
              <w:jc w:val="right"/>
              <w:rPr>
                <w:sz w:val="20"/>
                <w:szCs w:val="20"/>
              </w:rPr>
            </w:pPr>
            <w:r w:rsidRPr="00C17954">
              <w:rPr>
                <w:sz w:val="20"/>
                <w:szCs w:val="20"/>
              </w:rPr>
              <w:t>187</w:t>
            </w:r>
          </w:p>
        </w:tc>
        <w:tc>
          <w:tcPr>
            <w:tcW w:w="628" w:type="pct"/>
            <w:noWrap/>
            <w:vAlign w:val="bottom"/>
          </w:tcPr>
          <w:p w:rsidR="00C17954" w:rsidRPr="00C17954" w:rsidRDefault="00C17954" w:rsidP="000B336F">
            <w:pPr>
              <w:jc w:val="right"/>
              <w:rPr>
                <w:sz w:val="20"/>
                <w:szCs w:val="20"/>
              </w:rPr>
            </w:pPr>
            <w:r w:rsidRPr="00C17954">
              <w:rPr>
                <w:sz w:val="20"/>
                <w:szCs w:val="20"/>
              </w:rPr>
              <w:t>143</w:t>
            </w:r>
          </w:p>
        </w:tc>
        <w:tc>
          <w:tcPr>
            <w:tcW w:w="629" w:type="pct"/>
            <w:noWrap/>
            <w:vAlign w:val="bottom"/>
          </w:tcPr>
          <w:p w:rsidR="00C17954" w:rsidRPr="00C17954" w:rsidRDefault="00C17954" w:rsidP="000B336F">
            <w:pPr>
              <w:jc w:val="right"/>
              <w:rPr>
                <w:sz w:val="20"/>
                <w:szCs w:val="20"/>
              </w:rPr>
            </w:pPr>
            <w:r w:rsidRPr="00C17954">
              <w:rPr>
                <w:sz w:val="20"/>
                <w:szCs w:val="20"/>
              </w:rPr>
              <w:t>0</w:t>
            </w:r>
          </w:p>
        </w:tc>
        <w:tc>
          <w:tcPr>
            <w:tcW w:w="628" w:type="pct"/>
            <w:vAlign w:val="bottom"/>
          </w:tcPr>
          <w:p w:rsidR="00C17954" w:rsidRPr="00C17954" w:rsidRDefault="00C17954" w:rsidP="000B336F">
            <w:pPr>
              <w:jc w:val="right"/>
              <w:rPr>
                <w:sz w:val="20"/>
                <w:szCs w:val="20"/>
              </w:rPr>
            </w:pPr>
            <w:r w:rsidRPr="00C17954">
              <w:rPr>
                <w:sz w:val="20"/>
                <w:szCs w:val="20"/>
              </w:rPr>
              <w:t>3.454</w:t>
            </w:r>
          </w:p>
        </w:tc>
        <w:tc>
          <w:tcPr>
            <w:tcW w:w="625" w:type="pct"/>
            <w:vAlign w:val="bottom"/>
          </w:tcPr>
          <w:p w:rsidR="00C17954" w:rsidRPr="00C17954" w:rsidRDefault="00C17954" w:rsidP="000B336F">
            <w:pPr>
              <w:jc w:val="right"/>
              <w:rPr>
                <w:sz w:val="20"/>
                <w:szCs w:val="20"/>
              </w:rPr>
            </w:pPr>
            <w:r w:rsidRPr="00C17954">
              <w:rPr>
                <w:sz w:val="20"/>
                <w:szCs w:val="20"/>
              </w:rPr>
              <w:t>0,16</w:t>
            </w:r>
          </w:p>
        </w:tc>
      </w:tr>
      <w:tr w:rsidR="00C17954" w:rsidRPr="00815232" w:rsidTr="00F8654F">
        <w:trPr>
          <w:trHeight w:val="300"/>
        </w:trPr>
        <w:tc>
          <w:tcPr>
            <w:tcW w:w="669" w:type="pct"/>
            <w:vAlign w:val="center"/>
          </w:tcPr>
          <w:p w:rsidR="00C17954" w:rsidRPr="00C17954" w:rsidRDefault="00C17954" w:rsidP="00C17954">
            <w:pPr>
              <w:rPr>
                <w:sz w:val="20"/>
                <w:szCs w:val="20"/>
              </w:rPr>
            </w:pPr>
            <w:r w:rsidRPr="00C17954">
              <w:rPr>
                <w:sz w:val="20"/>
                <w:szCs w:val="20"/>
              </w:rPr>
              <w:t>BAE</w:t>
            </w:r>
          </w:p>
        </w:tc>
        <w:tc>
          <w:tcPr>
            <w:tcW w:w="565" w:type="pct"/>
            <w:noWrap/>
            <w:vAlign w:val="bottom"/>
          </w:tcPr>
          <w:p w:rsidR="00C17954" w:rsidRPr="00C17954" w:rsidRDefault="00C17954" w:rsidP="000B336F">
            <w:pPr>
              <w:jc w:val="right"/>
              <w:rPr>
                <w:sz w:val="20"/>
                <w:szCs w:val="20"/>
              </w:rPr>
            </w:pPr>
            <w:r w:rsidRPr="00C17954">
              <w:rPr>
                <w:sz w:val="20"/>
                <w:szCs w:val="20"/>
              </w:rPr>
              <w:t>0</w:t>
            </w:r>
          </w:p>
        </w:tc>
        <w:tc>
          <w:tcPr>
            <w:tcW w:w="628" w:type="pct"/>
            <w:noWrap/>
            <w:vAlign w:val="bottom"/>
          </w:tcPr>
          <w:p w:rsidR="00C17954" w:rsidRPr="00C17954" w:rsidRDefault="00C17954" w:rsidP="000B336F">
            <w:pPr>
              <w:jc w:val="right"/>
              <w:rPr>
                <w:sz w:val="20"/>
                <w:szCs w:val="20"/>
              </w:rPr>
            </w:pPr>
            <w:r w:rsidRPr="00C17954">
              <w:rPr>
                <w:sz w:val="20"/>
                <w:szCs w:val="20"/>
              </w:rPr>
              <w:t>0</w:t>
            </w:r>
          </w:p>
        </w:tc>
        <w:tc>
          <w:tcPr>
            <w:tcW w:w="628" w:type="pct"/>
            <w:noWrap/>
            <w:vAlign w:val="bottom"/>
          </w:tcPr>
          <w:p w:rsidR="00C17954" w:rsidRPr="00C17954" w:rsidRDefault="00C17954" w:rsidP="000B336F">
            <w:pPr>
              <w:jc w:val="right"/>
              <w:rPr>
                <w:sz w:val="20"/>
                <w:szCs w:val="20"/>
              </w:rPr>
            </w:pPr>
            <w:r w:rsidRPr="00C17954">
              <w:rPr>
                <w:sz w:val="20"/>
                <w:szCs w:val="20"/>
              </w:rPr>
              <w:t>0</w:t>
            </w:r>
          </w:p>
        </w:tc>
        <w:tc>
          <w:tcPr>
            <w:tcW w:w="628" w:type="pct"/>
            <w:noWrap/>
            <w:vAlign w:val="bottom"/>
          </w:tcPr>
          <w:p w:rsidR="00C17954" w:rsidRPr="00C17954" w:rsidRDefault="00C17954" w:rsidP="000B336F">
            <w:pPr>
              <w:jc w:val="right"/>
              <w:rPr>
                <w:sz w:val="20"/>
                <w:szCs w:val="20"/>
              </w:rPr>
            </w:pPr>
            <w:r w:rsidRPr="00C17954">
              <w:rPr>
                <w:sz w:val="20"/>
                <w:szCs w:val="20"/>
              </w:rPr>
              <w:t>0</w:t>
            </w:r>
          </w:p>
        </w:tc>
        <w:tc>
          <w:tcPr>
            <w:tcW w:w="629" w:type="pct"/>
            <w:noWrap/>
            <w:vAlign w:val="bottom"/>
          </w:tcPr>
          <w:p w:rsidR="00C17954" w:rsidRPr="00C17954" w:rsidRDefault="00C17954" w:rsidP="000B336F">
            <w:pPr>
              <w:jc w:val="right"/>
              <w:rPr>
                <w:sz w:val="20"/>
                <w:szCs w:val="20"/>
              </w:rPr>
            </w:pPr>
            <w:r w:rsidRPr="00C17954">
              <w:rPr>
                <w:sz w:val="20"/>
                <w:szCs w:val="20"/>
              </w:rPr>
              <w:t>0</w:t>
            </w:r>
          </w:p>
        </w:tc>
        <w:tc>
          <w:tcPr>
            <w:tcW w:w="628" w:type="pct"/>
            <w:vAlign w:val="bottom"/>
          </w:tcPr>
          <w:p w:rsidR="00C17954" w:rsidRPr="00C17954" w:rsidRDefault="00C17954" w:rsidP="000B336F">
            <w:pPr>
              <w:jc w:val="right"/>
              <w:rPr>
                <w:sz w:val="20"/>
                <w:szCs w:val="20"/>
              </w:rPr>
            </w:pPr>
            <w:r w:rsidRPr="00C17954">
              <w:rPr>
                <w:sz w:val="20"/>
                <w:szCs w:val="20"/>
              </w:rPr>
              <w:t>1.000</w:t>
            </w:r>
          </w:p>
        </w:tc>
        <w:tc>
          <w:tcPr>
            <w:tcW w:w="625" w:type="pct"/>
            <w:vAlign w:val="bottom"/>
          </w:tcPr>
          <w:p w:rsidR="00C17954" w:rsidRPr="00C17954" w:rsidRDefault="00C17954" w:rsidP="000B336F">
            <w:pPr>
              <w:jc w:val="right"/>
              <w:rPr>
                <w:sz w:val="20"/>
                <w:szCs w:val="20"/>
              </w:rPr>
            </w:pPr>
            <w:r w:rsidRPr="00C17954">
              <w:rPr>
                <w:sz w:val="20"/>
                <w:szCs w:val="20"/>
              </w:rPr>
              <w:t>0,05</w:t>
            </w:r>
          </w:p>
        </w:tc>
      </w:tr>
      <w:tr w:rsidR="00C17954" w:rsidRPr="00815232" w:rsidTr="00F8654F">
        <w:trPr>
          <w:trHeight w:val="300"/>
        </w:trPr>
        <w:tc>
          <w:tcPr>
            <w:tcW w:w="669" w:type="pct"/>
            <w:vAlign w:val="center"/>
          </w:tcPr>
          <w:p w:rsidR="00C17954" w:rsidRPr="00C17954" w:rsidRDefault="00C17954" w:rsidP="00C17954">
            <w:pPr>
              <w:rPr>
                <w:sz w:val="20"/>
                <w:szCs w:val="20"/>
              </w:rPr>
            </w:pPr>
            <w:r w:rsidRPr="00C17954">
              <w:rPr>
                <w:sz w:val="20"/>
                <w:szCs w:val="20"/>
              </w:rPr>
              <w:t>Brezilya</w:t>
            </w:r>
          </w:p>
        </w:tc>
        <w:tc>
          <w:tcPr>
            <w:tcW w:w="565" w:type="pct"/>
            <w:noWrap/>
            <w:vAlign w:val="bottom"/>
          </w:tcPr>
          <w:p w:rsidR="00C17954" w:rsidRPr="00C17954" w:rsidRDefault="00C17954" w:rsidP="000B336F">
            <w:pPr>
              <w:jc w:val="right"/>
              <w:rPr>
                <w:sz w:val="20"/>
                <w:szCs w:val="20"/>
              </w:rPr>
            </w:pPr>
            <w:r w:rsidRPr="00C17954">
              <w:rPr>
                <w:sz w:val="20"/>
                <w:szCs w:val="20"/>
              </w:rPr>
              <w:t>0</w:t>
            </w:r>
          </w:p>
        </w:tc>
        <w:tc>
          <w:tcPr>
            <w:tcW w:w="628" w:type="pct"/>
            <w:noWrap/>
            <w:vAlign w:val="bottom"/>
          </w:tcPr>
          <w:p w:rsidR="00C17954" w:rsidRPr="00C17954" w:rsidRDefault="00C17954" w:rsidP="000B336F">
            <w:pPr>
              <w:jc w:val="right"/>
              <w:rPr>
                <w:sz w:val="20"/>
                <w:szCs w:val="20"/>
              </w:rPr>
            </w:pPr>
            <w:r w:rsidRPr="00C17954">
              <w:rPr>
                <w:sz w:val="20"/>
                <w:szCs w:val="20"/>
              </w:rPr>
              <w:t>0</w:t>
            </w:r>
          </w:p>
        </w:tc>
        <w:tc>
          <w:tcPr>
            <w:tcW w:w="628" w:type="pct"/>
            <w:noWrap/>
            <w:vAlign w:val="bottom"/>
          </w:tcPr>
          <w:p w:rsidR="00C17954" w:rsidRPr="00C17954" w:rsidRDefault="00C17954" w:rsidP="000B336F">
            <w:pPr>
              <w:jc w:val="right"/>
              <w:rPr>
                <w:sz w:val="20"/>
                <w:szCs w:val="20"/>
              </w:rPr>
            </w:pPr>
            <w:r w:rsidRPr="00C17954">
              <w:rPr>
                <w:sz w:val="20"/>
                <w:szCs w:val="20"/>
              </w:rPr>
              <w:t>0</w:t>
            </w:r>
          </w:p>
        </w:tc>
        <w:tc>
          <w:tcPr>
            <w:tcW w:w="628" w:type="pct"/>
            <w:noWrap/>
            <w:vAlign w:val="bottom"/>
          </w:tcPr>
          <w:p w:rsidR="00C17954" w:rsidRPr="00C17954" w:rsidRDefault="00C17954" w:rsidP="000B336F">
            <w:pPr>
              <w:jc w:val="right"/>
              <w:rPr>
                <w:sz w:val="20"/>
                <w:szCs w:val="20"/>
              </w:rPr>
            </w:pPr>
            <w:r w:rsidRPr="00C17954">
              <w:rPr>
                <w:sz w:val="20"/>
                <w:szCs w:val="20"/>
              </w:rPr>
              <w:t>0</w:t>
            </w:r>
          </w:p>
        </w:tc>
        <w:tc>
          <w:tcPr>
            <w:tcW w:w="629" w:type="pct"/>
            <w:noWrap/>
            <w:vAlign w:val="bottom"/>
          </w:tcPr>
          <w:p w:rsidR="00C17954" w:rsidRPr="00C17954" w:rsidRDefault="00C17954" w:rsidP="000B336F">
            <w:pPr>
              <w:jc w:val="right"/>
              <w:rPr>
                <w:sz w:val="20"/>
                <w:szCs w:val="20"/>
              </w:rPr>
            </w:pPr>
            <w:r w:rsidRPr="00C17954">
              <w:rPr>
                <w:sz w:val="20"/>
                <w:szCs w:val="20"/>
              </w:rPr>
              <w:t>0</w:t>
            </w:r>
          </w:p>
        </w:tc>
        <w:tc>
          <w:tcPr>
            <w:tcW w:w="628" w:type="pct"/>
            <w:vAlign w:val="bottom"/>
          </w:tcPr>
          <w:p w:rsidR="00C17954" w:rsidRPr="00C17954" w:rsidRDefault="00C17954" w:rsidP="000B336F">
            <w:pPr>
              <w:jc w:val="right"/>
              <w:rPr>
                <w:sz w:val="20"/>
                <w:szCs w:val="20"/>
              </w:rPr>
            </w:pPr>
            <w:r w:rsidRPr="00C17954">
              <w:rPr>
                <w:sz w:val="20"/>
                <w:szCs w:val="20"/>
              </w:rPr>
              <w:t>220</w:t>
            </w:r>
          </w:p>
        </w:tc>
        <w:tc>
          <w:tcPr>
            <w:tcW w:w="625" w:type="pct"/>
            <w:vAlign w:val="bottom"/>
          </w:tcPr>
          <w:p w:rsidR="00C17954" w:rsidRPr="00C17954" w:rsidRDefault="00C17954" w:rsidP="000B336F">
            <w:pPr>
              <w:jc w:val="right"/>
              <w:rPr>
                <w:sz w:val="20"/>
                <w:szCs w:val="20"/>
              </w:rPr>
            </w:pPr>
            <w:r w:rsidRPr="00C17954">
              <w:rPr>
                <w:sz w:val="20"/>
                <w:szCs w:val="20"/>
              </w:rPr>
              <w:t>0,01</w:t>
            </w:r>
          </w:p>
        </w:tc>
      </w:tr>
      <w:tr w:rsidR="00C17954" w:rsidRPr="00815232" w:rsidTr="00F8654F">
        <w:trPr>
          <w:trHeight w:val="300"/>
        </w:trPr>
        <w:tc>
          <w:tcPr>
            <w:tcW w:w="669" w:type="pct"/>
            <w:vAlign w:val="center"/>
          </w:tcPr>
          <w:p w:rsidR="00C17954" w:rsidRPr="00C17954" w:rsidRDefault="00C17954" w:rsidP="00C17954">
            <w:pPr>
              <w:rPr>
                <w:sz w:val="20"/>
                <w:szCs w:val="20"/>
              </w:rPr>
            </w:pPr>
            <w:r w:rsidRPr="00C17954">
              <w:rPr>
                <w:sz w:val="20"/>
                <w:szCs w:val="20"/>
              </w:rPr>
              <w:t>S. Arabistan</w:t>
            </w:r>
          </w:p>
        </w:tc>
        <w:tc>
          <w:tcPr>
            <w:tcW w:w="565" w:type="pct"/>
            <w:noWrap/>
            <w:vAlign w:val="bottom"/>
          </w:tcPr>
          <w:p w:rsidR="00C17954" w:rsidRPr="00C17954" w:rsidRDefault="00C17954" w:rsidP="000B336F">
            <w:pPr>
              <w:jc w:val="right"/>
              <w:rPr>
                <w:sz w:val="20"/>
                <w:szCs w:val="20"/>
              </w:rPr>
            </w:pPr>
            <w:r w:rsidRPr="00C17954">
              <w:rPr>
                <w:sz w:val="20"/>
                <w:szCs w:val="20"/>
              </w:rPr>
              <w:t>41.257</w:t>
            </w:r>
          </w:p>
        </w:tc>
        <w:tc>
          <w:tcPr>
            <w:tcW w:w="628" w:type="pct"/>
            <w:noWrap/>
            <w:vAlign w:val="bottom"/>
          </w:tcPr>
          <w:p w:rsidR="00C17954" w:rsidRPr="00C17954" w:rsidRDefault="00C17954" w:rsidP="000B336F">
            <w:pPr>
              <w:jc w:val="right"/>
              <w:rPr>
                <w:sz w:val="20"/>
                <w:szCs w:val="20"/>
              </w:rPr>
            </w:pPr>
            <w:r w:rsidRPr="00C17954">
              <w:rPr>
                <w:sz w:val="20"/>
                <w:szCs w:val="20"/>
              </w:rPr>
              <w:t>95.191</w:t>
            </w:r>
          </w:p>
        </w:tc>
        <w:tc>
          <w:tcPr>
            <w:tcW w:w="628" w:type="pct"/>
            <w:noWrap/>
            <w:vAlign w:val="bottom"/>
          </w:tcPr>
          <w:p w:rsidR="00C17954" w:rsidRPr="00C17954" w:rsidRDefault="00C17954" w:rsidP="000B336F">
            <w:pPr>
              <w:jc w:val="right"/>
              <w:rPr>
                <w:sz w:val="20"/>
                <w:szCs w:val="20"/>
              </w:rPr>
            </w:pPr>
            <w:r w:rsidRPr="00C17954">
              <w:rPr>
                <w:sz w:val="20"/>
                <w:szCs w:val="20"/>
              </w:rPr>
              <w:t>6.300</w:t>
            </w:r>
          </w:p>
        </w:tc>
        <w:tc>
          <w:tcPr>
            <w:tcW w:w="628" w:type="pct"/>
            <w:noWrap/>
            <w:vAlign w:val="bottom"/>
          </w:tcPr>
          <w:p w:rsidR="00C17954" w:rsidRPr="00C17954" w:rsidRDefault="00C17954" w:rsidP="000B336F">
            <w:pPr>
              <w:jc w:val="right"/>
              <w:rPr>
                <w:sz w:val="20"/>
                <w:szCs w:val="20"/>
              </w:rPr>
            </w:pPr>
            <w:r w:rsidRPr="00C17954">
              <w:rPr>
                <w:sz w:val="20"/>
                <w:szCs w:val="20"/>
              </w:rPr>
              <w:t>426</w:t>
            </w:r>
          </w:p>
        </w:tc>
        <w:tc>
          <w:tcPr>
            <w:tcW w:w="629" w:type="pct"/>
            <w:noWrap/>
            <w:vAlign w:val="bottom"/>
          </w:tcPr>
          <w:p w:rsidR="00C17954" w:rsidRPr="00C17954" w:rsidRDefault="00C17954" w:rsidP="000B336F">
            <w:pPr>
              <w:jc w:val="right"/>
              <w:rPr>
                <w:sz w:val="20"/>
                <w:szCs w:val="20"/>
              </w:rPr>
            </w:pPr>
            <w:r w:rsidRPr="00C17954">
              <w:rPr>
                <w:sz w:val="20"/>
                <w:szCs w:val="20"/>
              </w:rPr>
              <w:t>381</w:t>
            </w:r>
          </w:p>
        </w:tc>
        <w:tc>
          <w:tcPr>
            <w:tcW w:w="628" w:type="pct"/>
            <w:vAlign w:val="bottom"/>
          </w:tcPr>
          <w:p w:rsidR="00C17954" w:rsidRPr="00C17954" w:rsidRDefault="00C17954" w:rsidP="000B336F">
            <w:pPr>
              <w:jc w:val="right"/>
              <w:rPr>
                <w:sz w:val="20"/>
                <w:szCs w:val="20"/>
              </w:rPr>
            </w:pPr>
            <w:r w:rsidRPr="00C17954">
              <w:rPr>
                <w:sz w:val="20"/>
                <w:szCs w:val="20"/>
              </w:rPr>
              <w:t>178</w:t>
            </w:r>
          </w:p>
        </w:tc>
        <w:tc>
          <w:tcPr>
            <w:tcW w:w="625" w:type="pct"/>
            <w:vAlign w:val="bottom"/>
          </w:tcPr>
          <w:p w:rsidR="00C17954" w:rsidRPr="00C17954" w:rsidRDefault="00C17954" w:rsidP="000B336F">
            <w:pPr>
              <w:jc w:val="right"/>
              <w:rPr>
                <w:sz w:val="20"/>
                <w:szCs w:val="20"/>
              </w:rPr>
            </w:pPr>
            <w:r w:rsidRPr="00C17954">
              <w:rPr>
                <w:sz w:val="20"/>
                <w:szCs w:val="20"/>
              </w:rPr>
              <w:t>0,01</w:t>
            </w:r>
          </w:p>
        </w:tc>
      </w:tr>
      <w:tr w:rsidR="00C17954" w:rsidRPr="00815232" w:rsidTr="00F8654F">
        <w:trPr>
          <w:trHeight w:val="300"/>
        </w:trPr>
        <w:tc>
          <w:tcPr>
            <w:tcW w:w="669" w:type="pct"/>
            <w:vAlign w:val="center"/>
          </w:tcPr>
          <w:p w:rsidR="00C17954" w:rsidRPr="00C17954" w:rsidRDefault="00C17954" w:rsidP="00C17954">
            <w:pPr>
              <w:rPr>
                <w:sz w:val="20"/>
                <w:szCs w:val="20"/>
              </w:rPr>
            </w:pPr>
            <w:r w:rsidRPr="00C17954">
              <w:rPr>
                <w:sz w:val="20"/>
                <w:szCs w:val="20"/>
              </w:rPr>
              <w:t>Belçika</w:t>
            </w:r>
          </w:p>
        </w:tc>
        <w:tc>
          <w:tcPr>
            <w:tcW w:w="565" w:type="pct"/>
            <w:noWrap/>
            <w:vAlign w:val="bottom"/>
          </w:tcPr>
          <w:p w:rsidR="00C17954" w:rsidRPr="00C17954" w:rsidRDefault="00C17954" w:rsidP="000B336F">
            <w:pPr>
              <w:jc w:val="right"/>
              <w:rPr>
                <w:sz w:val="20"/>
                <w:szCs w:val="20"/>
              </w:rPr>
            </w:pPr>
            <w:r w:rsidRPr="00C17954">
              <w:rPr>
                <w:sz w:val="20"/>
                <w:szCs w:val="20"/>
              </w:rPr>
              <w:t>0</w:t>
            </w:r>
          </w:p>
        </w:tc>
        <w:tc>
          <w:tcPr>
            <w:tcW w:w="628" w:type="pct"/>
            <w:noWrap/>
            <w:vAlign w:val="bottom"/>
          </w:tcPr>
          <w:p w:rsidR="00C17954" w:rsidRPr="00C17954" w:rsidRDefault="00C17954" w:rsidP="000B336F">
            <w:pPr>
              <w:jc w:val="right"/>
              <w:rPr>
                <w:sz w:val="20"/>
                <w:szCs w:val="20"/>
              </w:rPr>
            </w:pPr>
            <w:r w:rsidRPr="00C17954">
              <w:rPr>
                <w:sz w:val="20"/>
                <w:szCs w:val="20"/>
              </w:rPr>
              <w:t>4.425</w:t>
            </w:r>
          </w:p>
        </w:tc>
        <w:tc>
          <w:tcPr>
            <w:tcW w:w="628" w:type="pct"/>
            <w:noWrap/>
            <w:vAlign w:val="bottom"/>
          </w:tcPr>
          <w:p w:rsidR="00C17954" w:rsidRPr="00C17954" w:rsidRDefault="00C17954" w:rsidP="000B336F">
            <w:pPr>
              <w:jc w:val="right"/>
              <w:rPr>
                <w:sz w:val="20"/>
                <w:szCs w:val="20"/>
              </w:rPr>
            </w:pPr>
            <w:r w:rsidRPr="00C17954">
              <w:rPr>
                <w:sz w:val="20"/>
                <w:szCs w:val="20"/>
              </w:rPr>
              <w:t>0</w:t>
            </w:r>
          </w:p>
        </w:tc>
        <w:tc>
          <w:tcPr>
            <w:tcW w:w="628" w:type="pct"/>
            <w:noWrap/>
            <w:vAlign w:val="bottom"/>
          </w:tcPr>
          <w:p w:rsidR="00C17954" w:rsidRPr="00C17954" w:rsidRDefault="00C17954" w:rsidP="000B336F">
            <w:pPr>
              <w:jc w:val="right"/>
              <w:rPr>
                <w:sz w:val="20"/>
                <w:szCs w:val="20"/>
              </w:rPr>
            </w:pPr>
            <w:r w:rsidRPr="00C17954">
              <w:rPr>
                <w:sz w:val="20"/>
                <w:szCs w:val="20"/>
              </w:rPr>
              <w:t>0</w:t>
            </w:r>
          </w:p>
        </w:tc>
        <w:tc>
          <w:tcPr>
            <w:tcW w:w="629" w:type="pct"/>
            <w:noWrap/>
            <w:vAlign w:val="bottom"/>
          </w:tcPr>
          <w:p w:rsidR="00C17954" w:rsidRPr="00C17954" w:rsidRDefault="00C17954" w:rsidP="000B336F">
            <w:pPr>
              <w:jc w:val="right"/>
              <w:rPr>
                <w:sz w:val="20"/>
                <w:szCs w:val="20"/>
              </w:rPr>
            </w:pPr>
            <w:r w:rsidRPr="00C17954">
              <w:rPr>
                <w:sz w:val="20"/>
                <w:szCs w:val="20"/>
              </w:rPr>
              <w:t>78</w:t>
            </w:r>
          </w:p>
        </w:tc>
        <w:tc>
          <w:tcPr>
            <w:tcW w:w="628" w:type="pct"/>
            <w:vAlign w:val="bottom"/>
          </w:tcPr>
          <w:p w:rsidR="00C17954" w:rsidRPr="00C17954" w:rsidRDefault="00C17954" w:rsidP="000B336F">
            <w:pPr>
              <w:jc w:val="right"/>
              <w:rPr>
                <w:sz w:val="20"/>
                <w:szCs w:val="20"/>
              </w:rPr>
            </w:pPr>
            <w:r w:rsidRPr="00C17954">
              <w:rPr>
                <w:sz w:val="20"/>
                <w:szCs w:val="20"/>
              </w:rPr>
              <w:t>9</w:t>
            </w:r>
          </w:p>
        </w:tc>
        <w:tc>
          <w:tcPr>
            <w:tcW w:w="625" w:type="pct"/>
            <w:vAlign w:val="bottom"/>
          </w:tcPr>
          <w:p w:rsidR="00C17954" w:rsidRPr="00C17954" w:rsidRDefault="00C17954" w:rsidP="000B336F">
            <w:pPr>
              <w:jc w:val="right"/>
              <w:rPr>
                <w:sz w:val="20"/>
                <w:szCs w:val="20"/>
              </w:rPr>
            </w:pPr>
            <w:r w:rsidRPr="00C17954">
              <w:rPr>
                <w:sz w:val="20"/>
                <w:szCs w:val="20"/>
              </w:rPr>
              <w:t>0,00</w:t>
            </w:r>
          </w:p>
        </w:tc>
      </w:tr>
    </w:tbl>
    <w:p w:rsidR="00815232" w:rsidRDefault="00815232" w:rsidP="003732B1">
      <w:pPr>
        <w:ind w:firstLine="708"/>
        <w:jc w:val="both"/>
      </w:pPr>
    </w:p>
    <w:p w:rsidR="002E2E80" w:rsidRPr="00AE7278" w:rsidRDefault="004B018A" w:rsidP="003732B1">
      <w:pPr>
        <w:ind w:firstLine="708"/>
        <w:jc w:val="both"/>
      </w:pPr>
      <w:r>
        <w:t>T</w:t>
      </w:r>
      <w:r w:rsidR="00F8654F">
        <w:t>abloda</w:t>
      </w:r>
      <w:r w:rsidR="00E83EC5">
        <w:t>n da</w:t>
      </w:r>
      <w:r w:rsidR="00F8654F">
        <w:t xml:space="preserve"> görüleceği üzere, 2013</w:t>
      </w:r>
      <w:r w:rsidR="00CE72CA">
        <w:t xml:space="preserve"> yılında Çin’in ithalatı daha önce belirtildiği üzere </w:t>
      </w:r>
      <w:r w:rsidR="00E83EC5">
        <w:t xml:space="preserve">inceleme dönemindeki </w:t>
      </w:r>
      <w:r w:rsidR="00CE72CA">
        <w:t>en düşük</w:t>
      </w:r>
      <w:r w:rsidR="00E1462C">
        <w:t xml:space="preserve"> seviyesine</w:t>
      </w:r>
      <w:r w:rsidR="00CE72CA">
        <w:t xml:space="preserve"> gerilemiştir. Diğer taraftan, Çin’in PTA ithalat</w:t>
      </w:r>
      <w:r w:rsidR="00F8654F">
        <w:t>ının %87’si</w:t>
      </w:r>
      <w:r w:rsidR="00E83EC5">
        <w:t>nin</w:t>
      </w:r>
      <w:r w:rsidR="00E1462C">
        <w:t xml:space="preserve"> Güney</w:t>
      </w:r>
      <w:r w:rsidR="00CE72CA">
        <w:t xml:space="preserve"> Kore</w:t>
      </w:r>
      <w:r w:rsidR="00E1462C">
        <w:t>,</w:t>
      </w:r>
      <w:r w:rsidR="00CE72CA">
        <w:t xml:space="preserve"> </w:t>
      </w:r>
      <w:r w:rsidR="00F8654F">
        <w:t xml:space="preserve">Tayvan </w:t>
      </w:r>
      <w:r w:rsidR="00CE72CA">
        <w:t>ve Tayland’</w:t>
      </w:r>
      <w:r>
        <w:t>dan yapıldığı görülmektedir</w:t>
      </w:r>
      <w:r w:rsidR="00CE72CA">
        <w:t xml:space="preserve">. </w:t>
      </w:r>
      <w:r>
        <w:t xml:space="preserve">Son </w:t>
      </w:r>
      <w:r w:rsidR="005E3038">
        <w:t>6</w:t>
      </w:r>
      <w:r>
        <w:t xml:space="preserve"> yıl içinde Avrupa’dan Çin’e yapılan PTA ihracatı olduk</w:t>
      </w:r>
      <w:r w:rsidR="00E1462C">
        <w:t>ça düşük seviyede seyretmiştir</w:t>
      </w:r>
      <w:r>
        <w:t>. 201</w:t>
      </w:r>
      <w:r w:rsidR="005E3038">
        <w:t>3</w:t>
      </w:r>
      <w:r>
        <w:t xml:space="preserve"> yılında </w:t>
      </w:r>
      <w:r w:rsidR="00AA2F5D">
        <w:t>her bir ülke</w:t>
      </w:r>
      <w:r>
        <w:t xml:space="preserve">den yapılan ithalatın Çin’in toplam ithalatına oranlandığı son sütün incelendiğinde </w:t>
      </w:r>
      <w:r w:rsidR="009219C0">
        <w:t xml:space="preserve">listede yer alan </w:t>
      </w:r>
      <w:r w:rsidR="00CE72CA">
        <w:t>Avrupa ülkelerinden Polonya’nın Çin’in ithalatından aldığı pay</w:t>
      </w:r>
      <w:r w:rsidR="00AA2F5D">
        <w:t>ın</w:t>
      </w:r>
      <w:r w:rsidR="009219C0">
        <w:t xml:space="preserve"> %1’in altında olduğu</w:t>
      </w:r>
      <w:r w:rsidR="00CE72CA">
        <w:t>, Belçika’nın aldığı pay</w:t>
      </w:r>
      <w:r w:rsidR="00AA2F5D">
        <w:t>ın ise sıfıra yakın olduğu görülmektedir</w:t>
      </w:r>
      <w:r w:rsidR="000952CF">
        <w:t xml:space="preserve">. </w:t>
      </w:r>
      <w:r w:rsidR="000952CF" w:rsidRPr="00AE7278">
        <w:t xml:space="preserve">Her ne kadar </w:t>
      </w:r>
      <w:r w:rsidR="00AE7278">
        <w:t>Polonya’nın Çin’in ithalatından aldığı pay 2012 yılında %</w:t>
      </w:r>
      <w:r w:rsidR="000952CF" w:rsidRPr="00AE7278">
        <w:t xml:space="preserve">1’in altında olsa </w:t>
      </w:r>
      <w:r w:rsidR="00AE7278" w:rsidRPr="00AE7278">
        <w:t>da,</w:t>
      </w:r>
      <w:r w:rsidR="00E1462C">
        <w:t xml:space="preserve"> 2012 yılında</w:t>
      </w:r>
      <w:r w:rsidR="000952CF" w:rsidRPr="00AE7278">
        <w:t xml:space="preserve"> </w:t>
      </w:r>
      <w:r w:rsidR="00AE7278" w:rsidRPr="00AE7278">
        <w:t xml:space="preserve">yaklaşık </w:t>
      </w:r>
      <w:r w:rsidR="00E1462C">
        <w:t>39 bin ton</w:t>
      </w:r>
      <w:r w:rsidR="000952CF" w:rsidRPr="00AE7278">
        <w:t xml:space="preserve"> </w:t>
      </w:r>
      <w:r w:rsidR="00E1462C">
        <w:t xml:space="preserve">olan </w:t>
      </w:r>
      <w:r w:rsidR="00AE7278" w:rsidRPr="00AE7278">
        <w:t>ihracat</w:t>
      </w:r>
      <w:r w:rsidR="000952CF" w:rsidRPr="00AE7278">
        <w:t xml:space="preserve"> 2013 yılında 12 bin tona inmiş; ülkemizin </w:t>
      </w:r>
      <w:r w:rsidR="00AE7278" w:rsidRPr="00AE7278">
        <w:t>Polonya’dan</w:t>
      </w:r>
      <w:r w:rsidR="000952CF" w:rsidRPr="00AE7278">
        <w:t xml:space="preserve"> ithalatı </w:t>
      </w:r>
      <w:r w:rsidR="00AE7278" w:rsidRPr="00AE7278">
        <w:t>aynı dönemde</w:t>
      </w:r>
      <w:r w:rsidR="000952CF" w:rsidRPr="00AE7278">
        <w:t xml:space="preserve"> yaklaşık 36 bin tondan 41 bin tona yükselmiştir. </w:t>
      </w:r>
    </w:p>
    <w:p w:rsidR="002E2E80" w:rsidRPr="00AE7278" w:rsidRDefault="00F530F3" w:rsidP="003732B1">
      <w:pPr>
        <w:ind w:firstLine="708"/>
        <w:jc w:val="both"/>
      </w:pPr>
      <w:r w:rsidRPr="00AE7278">
        <w:t xml:space="preserve">   </w:t>
      </w:r>
    </w:p>
    <w:p w:rsidR="00F951EC" w:rsidRDefault="002E2E80" w:rsidP="00F951EC">
      <w:pPr>
        <w:ind w:firstLine="708"/>
        <w:jc w:val="both"/>
      </w:pPr>
      <w:r w:rsidRPr="00AE7278">
        <w:t>Tüm bu veriler ışı</w:t>
      </w:r>
      <w:r w:rsidR="00E1462C">
        <w:t>ğı</w:t>
      </w:r>
      <w:r w:rsidRPr="00AE7278">
        <w:t xml:space="preserve">nda, Çin’de yaşanan pazar daralması </w:t>
      </w:r>
      <w:r w:rsidR="000952CF" w:rsidRPr="00AE7278">
        <w:t xml:space="preserve">ve artan kapasite </w:t>
      </w:r>
      <w:r w:rsidRPr="00AE7278">
        <w:t>nedeniyle Avrupalı firmaların Türkiye pazarına yöneldiği değerlendirmesinin</w:t>
      </w:r>
      <w:r w:rsidR="000952CF" w:rsidRPr="00AE7278">
        <w:t xml:space="preserve"> bir ölçüde</w:t>
      </w:r>
      <w:r w:rsidRPr="00AE7278">
        <w:t xml:space="preserve"> </w:t>
      </w:r>
      <w:r w:rsidR="00C30F00" w:rsidRPr="00AE7278">
        <w:t>kabul edilebilmesi mümkün görünmektedir.</w:t>
      </w:r>
      <w:r w:rsidR="00C30F00">
        <w:t xml:space="preserve"> </w:t>
      </w:r>
    </w:p>
    <w:p w:rsidR="004775CE" w:rsidRDefault="004775CE" w:rsidP="008129B1">
      <w:pPr>
        <w:pStyle w:val="Balk4"/>
      </w:pPr>
      <w:r>
        <w:t xml:space="preserve">Portekiz ve Polonya’da </w:t>
      </w:r>
      <w:r w:rsidR="00C42474">
        <w:t>faaliyete geçen fabrikalar</w:t>
      </w:r>
    </w:p>
    <w:p w:rsidR="00A96C0C" w:rsidRDefault="004775CE" w:rsidP="004775CE">
      <w:pPr>
        <w:ind w:firstLine="708"/>
        <w:jc w:val="both"/>
      </w:pPr>
      <w:r>
        <w:t xml:space="preserve">Portekiz’deki PTA üretim tesisi 2012 </w:t>
      </w:r>
      <w:r w:rsidR="00E1462C">
        <w:t xml:space="preserve">yılı </w:t>
      </w:r>
      <w:r>
        <w:t>Mart ayında,</w:t>
      </w:r>
      <w:r w:rsidR="00C15809" w:rsidRPr="00C15809">
        <w:rPr>
          <w:rStyle w:val="DipnotBavurusu"/>
        </w:rPr>
        <w:t xml:space="preserve"> </w:t>
      </w:r>
      <w:r>
        <w:t>Polonya’daki tesis ise 2011 yılı Mayıs ayında üretime başlamıştır.</w:t>
      </w:r>
      <w:r w:rsidR="00C15809">
        <w:t xml:space="preserve"> </w:t>
      </w:r>
      <w:r>
        <w:t>Portekiz’deki tesisin yapımına Mart 2008’de, Polonya’daki tesisin yapı</w:t>
      </w:r>
      <w:r w:rsidR="00F86AC4">
        <w:t xml:space="preserve">mına ise Temmuz 2008’de </w:t>
      </w:r>
      <w:r w:rsidR="0091288F">
        <w:t>başlan</w:t>
      </w:r>
      <w:r>
        <w:t xml:space="preserve">mıştır. </w:t>
      </w:r>
      <w:r w:rsidR="00A96C0C">
        <w:t xml:space="preserve">Polonya’daki tesisin yatırımına 2003 yılında karar verilmiş ve o dönemde firma tarafından 2003-2010 döneminde Avrupa PTA </w:t>
      </w:r>
      <w:r w:rsidR="00A96C0C">
        <w:lastRenderedPageBreak/>
        <w:t xml:space="preserve">talebinin yıllık ortalama %6 oranında artacağı </w:t>
      </w:r>
      <w:r w:rsidR="00036949">
        <w:t>öngörülmüştür.</w:t>
      </w:r>
      <w:r w:rsidR="00036949" w:rsidRPr="00036949">
        <w:t xml:space="preserve"> </w:t>
      </w:r>
      <w:r w:rsidR="00036949">
        <w:t>Diğer taraftan Polonya’da PET şişe talebinde yaşanan artış bu tesisin kurulmasında etkili olan faktörlerden sayılmıştır</w:t>
      </w:r>
      <w:r w:rsidR="00A96C0C">
        <w:t>.</w:t>
      </w:r>
      <w:r w:rsidR="00A96C0C">
        <w:rPr>
          <w:rStyle w:val="DipnotBavurusu"/>
        </w:rPr>
        <w:footnoteReference w:id="19"/>
      </w:r>
      <w:r w:rsidR="00C15809">
        <w:t xml:space="preserve"> </w:t>
      </w:r>
      <w:r w:rsidR="009C5657">
        <w:t>Portekiz’de kurulan firma ise üretimin %95’ini ihraç etmek üzere planlanmıştır.</w:t>
      </w:r>
      <w:r w:rsidR="009C5657">
        <w:rPr>
          <w:rStyle w:val="DipnotBavurusu"/>
        </w:rPr>
        <w:footnoteReference w:id="20"/>
      </w:r>
    </w:p>
    <w:p w:rsidR="00A96C0C" w:rsidRDefault="00A96C0C" w:rsidP="004775CE">
      <w:pPr>
        <w:ind w:firstLine="708"/>
        <w:jc w:val="both"/>
      </w:pPr>
    </w:p>
    <w:p w:rsidR="00131419" w:rsidRDefault="004775CE" w:rsidP="00036949">
      <w:pPr>
        <w:ind w:firstLine="708"/>
        <w:jc w:val="both"/>
      </w:pPr>
      <w:r>
        <w:t xml:space="preserve">Her iki tesisin de Avrupa’da PTA üretim ve tüketiminin düştüğü bir dönemde </w:t>
      </w:r>
      <w:r w:rsidR="00036949">
        <w:t xml:space="preserve">fiili </w:t>
      </w:r>
      <w:r w:rsidR="0091288F">
        <w:t xml:space="preserve">yatırımına başlanmış; </w:t>
      </w:r>
      <w:r>
        <w:t xml:space="preserve">özellikle Portekiz’deki tesis Avrupa PET ve dolayısıyla PTA talebinin düşük olduğu bir dönemde üretime başlamış ve çeşitli analistlerce </w:t>
      </w:r>
      <w:r w:rsidR="007B153B">
        <w:t xml:space="preserve">bu tesisin </w:t>
      </w:r>
      <w:r>
        <w:t>“daha kötü bir zamanda devreye giremeyeceği” ve “çılgınca müşteri aramaya başladığı” değerlendirmeleri yapılmıştır.</w:t>
      </w:r>
      <w:r w:rsidR="00C15809">
        <w:rPr>
          <w:rStyle w:val="DipnotBavurusu"/>
        </w:rPr>
        <w:footnoteReference w:id="21"/>
      </w:r>
      <w:r w:rsidR="00A96C0C">
        <w:t xml:space="preserve"> </w:t>
      </w:r>
    </w:p>
    <w:p w:rsidR="0049418F" w:rsidRDefault="0049418F" w:rsidP="00036949">
      <w:pPr>
        <w:ind w:firstLine="708"/>
        <w:jc w:val="both"/>
      </w:pPr>
    </w:p>
    <w:p w:rsidR="00183B1B" w:rsidRDefault="0049418F" w:rsidP="00EA18AC">
      <w:pPr>
        <w:ind w:firstLine="708"/>
        <w:jc w:val="both"/>
      </w:pPr>
      <w:r>
        <w:t xml:space="preserve">Aşağıdaki tabloda AB’nin yaptığı </w:t>
      </w:r>
      <w:r w:rsidR="0084601A">
        <w:t xml:space="preserve">PTA </w:t>
      </w:r>
      <w:r>
        <w:t>ihracatın</w:t>
      </w:r>
      <w:r w:rsidR="0084601A">
        <w:t>ın</w:t>
      </w:r>
      <w:r>
        <w:t xml:space="preserve"> üye ülkelere göre dağılımı yer almaktadır.</w:t>
      </w:r>
      <w:r w:rsidR="007364DC">
        <w:t xml:space="preserve"> </w:t>
      </w:r>
      <w:proofErr w:type="spellStart"/>
      <w:r w:rsidR="007364DC">
        <w:t>EUROSTAT’ta</w:t>
      </w:r>
      <w:proofErr w:type="spellEnd"/>
      <w:r w:rsidR="007364DC">
        <w:t xml:space="preserve"> </w:t>
      </w:r>
      <w:r w:rsidR="007B153B">
        <w:t xml:space="preserve">2013 yılına ilişkin </w:t>
      </w:r>
      <w:r w:rsidR="007364DC">
        <w:t xml:space="preserve">veri bulunmadığından </w:t>
      </w:r>
      <w:r w:rsidR="007B153B">
        <w:t>bu yıla</w:t>
      </w:r>
      <w:r w:rsidR="0091288F">
        <w:t xml:space="preserve"> ilişkin veriler </w:t>
      </w:r>
      <w:r w:rsidR="007364DC">
        <w:t xml:space="preserve">tabloda yer almamaktadır. </w:t>
      </w:r>
      <w:r w:rsidR="001D2DFC">
        <w:t xml:space="preserve">Tablodan da görüleceği gibi </w:t>
      </w:r>
      <w:r w:rsidR="007364DC">
        <w:t>Polonya ve Portekiz’deki firmaların devreye girmesiyle birlikte bu ülkelerden ihracat yapılmaya başlanmıştır. Polonya firmasının yaptığı ihracat 2011 yılında toplam satışlarının %26’sını, 2012 yılında ise %40’ını oluşturmuştur.</w:t>
      </w:r>
      <w:r w:rsidR="007364DC">
        <w:rPr>
          <w:rStyle w:val="DipnotBavurusu"/>
        </w:rPr>
        <w:footnoteReference w:id="22"/>
      </w:r>
      <w:r w:rsidR="00EA18AC">
        <w:t xml:space="preserve"> </w:t>
      </w:r>
    </w:p>
    <w:p w:rsidR="00A83B7B" w:rsidRDefault="00A83B7B" w:rsidP="00EA18AC">
      <w:pPr>
        <w:ind w:firstLine="708"/>
        <w:jc w:val="both"/>
      </w:pPr>
    </w:p>
    <w:tbl>
      <w:tblPr>
        <w:tblpPr w:leftFromText="141" w:rightFromText="141" w:vertAnchor="text" w:horzAnchor="margin" w:tblpY="151"/>
        <w:tblW w:w="5000" w:type="pct"/>
        <w:tblBorders>
          <w:top w:val="double" w:sz="4" w:space="0" w:color="auto"/>
          <w:left w:val="double" w:sz="4" w:space="0" w:color="auto"/>
          <w:bottom w:val="double" w:sz="4" w:space="0" w:color="auto"/>
          <w:right w:val="double" w:sz="4" w:space="0" w:color="auto"/>
        </w:tblBorders>
        <w:tblCellMar>
          <w:left w:w="70" w:type="dxa"/>
          <w:right w:w="70" w:type="dxa"/>
        </w:tblCellMar>
        <w:tblLook w:val="04A0" w:firstRow="1" w:lastRow="0" w:firstColumn="1" w:lastColumn="0" w:noHBand="0" w:noVBand="1"/>
      </w:tblPr>
      <w:tblGrid>
        <w:gridCol w:w="2479"/>
        <w:gridCol w:w="1347"/>
        <w:gridCol w:w="1347"/>
        <w:gridCol w:w="1347"/>
        <w:gridCol w:w="1347"/>
        <w:gridCol w:w="1345"/>
      </w:tblGrid>
      <w:tr w:rsidR="00036949" w:rsidRPr="00851305" w:rsidTr="00265871">
        <w:trPr>
          <w:trHeight w:val="454"/>
        </w:trPr>
        <w:tc>
          <w:tcPr>
            <w:tcW w:w="5000" w:type="pct"/>
            <w:gridSpan w:val="6"/>
            <w:shd w:val="clear" w:color="auto" w:fill="auto"/>
            <w:noWrap/>
            <w:vAlign w:val="center"/>
          </w:tcPr>
          <w:p w:rsidR="00036949" w:rsidRPr="00851305" w:rsidRDefault="002B369D" w:rsidP="00265871">
            <w:pPr>
              <w:jc w:val="center"/>
              <w:rPr>
                <w:rFonts w:ascii="Arial" w:hAnsi="Arial" w:cs="Arial"/>
                <w:sz w:val="20"/>
                <w:szCs w:val="20"/>
              </w:rPr>
            </w:pPr>
            <w:r w:rsidRPr="009A48A1">
              <w:rPr>
                <w:b/>
              </w:rPr>
              <w:t>2917.36</w:t>
            </w:r>
            <w:r>
              <w:rPr>
                <w:b/>
              </w:rPr>
              <w:t>.00 -</w:t>
            </w:r>
            <w:r w:rsidRPr="009A48A1">
              <w:rPr>
                <w:b/>
              </w:rPr>
              <w:t xml:space="preserve"> </w:t>
            </w:r>
            <w:r w:rsidR="00036949" w:rsidRPr="009A48A1">
              <w:rPr>
                <w:b/>
              </w:rPr>
              <w:t xml:space="preserve">AB İhracatı </w:t>
            </w:r>
            <w:r w:rsidR="00036949">
              <w:rPr>
                <w:b/>
              </w:rPr>
              <w:t xml:space="preserve">(İhracatçı Üye Ülke Bazında) </w:t>
            </w:r>
            <w:r w:rsidR="00036949" w:rsidRPr="009A48A1">
              <w:rPr>
                <w:b/>
              </w:rPr>
              <w:t>(Ton)</w:t>
            </w:r>
            <w:r w:rsidR="007F6DE6">
              <w:rPr>
                <w:b/>
              </w:rPr>
              <w:t xml:space="preserve"> </w:t>
            </w:r>
            <w:r w:rsidR="007F6DE6">
              <w:rPr>
                <w:rStyle w:val="DipnotBavurusu"/>
              </w:rPr>
              <w:footnoteReference w:id="23"/>
            </w:r>
          </w:p>
        </w:tc>
      </w:tr>
      <w:tr w:rsidR="00036949" w:rsidRPr="00851305" w:rsidTr="00150318">
        <w:trPr>
          <w:trHeight w:val="283"/>
        </w:trPr>
        <w:tc>
          <w:tcPr>
            <w:tcW w:w="1346" w:type="pct"/>
            <w:shd w:val="clear" w:color="auto" w:fill="auto"/>
            <w:noWrap/>
            <w:vAlign w:val="bottom"/>
            <w:hideMark/>
          </w:tcPr>
          <w:p w:rsidR="00036949" w:rsidRPr="00851305" w:rsidRDefault="00036949" w:rsidP="00265871">
            <w:r w:rsidRPr="00851305">
              <w:t>Ülke/Dönem</w:t>
            </w:r>
          </w:p>
        </w:tc>
        <w:tc>
          <w:tcPr>
            <w:tcW w:w="731" w:type="pct"/>
            <w:shd w:val="clear" w:color="auto" w:fill="auto"/>
            <w:noWrap/>
            <w:vAlign w:val="center"/>
            <w:hideMark/>
          </w:tcPr>
          <w:p w:rsidR="00036949" w:rsidRPr="00851305" w:rsidRDefault="00036949" w:rsidP="00150318">
            <w:pPr>
              <w:jc w:val="right"/>
            </w:pPr>
            <w:r w:rsidRPr="00851305">
              <w:t>2008</w:t>
            </w:r>
          </w:p>
        </w:tc>
        <w:tc>
          <w:tcPr>
            <w:tcW w:w="731" w:type="pct"/>
            <w:shd w:val="clear" w:color="auto" w:fill="auto"/>
            <w:noWrap/>
            <w:vAlign w:val="center"/>
            <w:hideMark/>
          </w:tcPr>
          <w:p w:rsidR="00036949" w:rsidRPr="00851305" w:rsidRDefault="00036949" w:rsidP="00150318">
            <w:pPr>
              <w:jc w:val="right"/>
            </w:pPr>
            <w:r w:rsidRPr="00851305">
              <w:t>2009</w:t>
            </w:r>
          </w:p>
        </w:tc>
        <w:tc>
          <w:tcPr>
            <w:tcW w:w="731" w:type="pct"/>
            <w:shd w:val="clear" w:color="auto" w:fill="auto"/>
            <w:noWrap/>
            <w:vAlign w:val="center"/>
            <w:hideMark/>
          </w:tcPr>
          <w:p w:rsidR="00036949" w:rsidRPr="00851305" w:rsidRDefault="00036949" w:rsidP="00150318">
            <w:pPr>
              <w:jc w:val="right"/>
            </w:pPr>
            <w:r w:rsidRPr="00851305">
              <w:t>2010</w:t>
            </w:r>
          </w:p>
        </w:tc>
        <w:tc>
          <w:tcPr>
            <w:tcW w:w="731" w:type="pct"/>
            <w:shd w:val="clear" w:color="auto" w:fill="auto"/>
            <w:noWrap/>
            <w:vAlign w:val="center"/>
            <w:hideMark/>
          </w:tcPr>
          <w:p w:rsidR="00036949" w:rsidRPr="00851305" w:rsidRDefault="00036949" w:rsidP="00150318">
            <w:pPr>
              <w:jc w:val="right"/>
            </w:pPr>
            <w:r w:rsidRPr="00851305">
              <w:t>2011</w:t>
            </w:r>
          </w:p>
        </w:tc>
        <w:tc>
          <w:tcPr>
            <w:tcW w:w="731" w:type="pct"/>
            <w:shd w:val="clear" w:color="auto" w:fill="auto"/>
            <w:noWrap/>
            <w:vAlign w:val="center"/>
            <w:hideMark/>
          </w:tcPr>
          <w:p w:rsidR="00036949" w:rsidRPr="00851305" w:rsidRDefault="00036949" w:rsidP="00150318">
            <w:pPr>
              <w:jc w:val="right"/>
            </w:pPr>
            <w:r w:rsidRPr="00851305">
              <w:t>2012</w:t>
            </w:r>
          </w:p>
        </w:tc>
      </w:tr>
      <w:tr w:rsidR="00036949" w:rsidRPr="00851305" w:rsidTr="00150318">
        <w:trPr>
          <w:trHeight w:val="283"/>
        </w:trPr>
        <w:tc>
          <w:tcPr>
            <w:tcW w:w="1346" w:type="pct"/>
            <w:shd w:val="clear" w:color="auto" w:fill="auto"/>
            <w:noWrap/>
            <w:vAlign w:val="bottom"/>
            <w:hideMark/>
          </w:tcPr>
          <w:p w:rsidR="00036949" w:rsidRPr="00851305" w:rsidRDefault="00036949" w:rsidP="00265871">
            <w:pPr>
              <w:rPr>
                <w:i/>
              </w:rPr>
            </w:pPr>
            <w:r w:rsidRPr="00851305">
              <w:rPr>
                <w:i/>
              </w:rPr>
              <w:t>AB 27 Toplam İhracat</w:t>
            </w:r>
          </w:p>
        </w:tc>
        <w:tc>
          <w:tcPr>
            <w:tcW w:w="731" w:type="pct"/>
            <w:shd w:val="clear" w:color="auto" w:fill="auto"/>
            <w:noWrap/>
            <w:vAlign w:val="bottom"/>
            <w:hideMark/>
          </w:tcPr>
          <w:p w:rsidR="00036949" w:rsidRPr="00036949" w:rsidRDefault="00036949" w:rsidP="00265871">
            <w:pPr>
              <w:jc w:val="right"/>
              <w:rPr>
                <w:i/>
              </w:rPr>
            </w:pPr>
            <w:r w:rsidRPr="00036949">
              <w:rPr>
                <w:i/>
              </w:rPr>
              <w:t xml:space="preserve">     59.302    </w:t>
            </w:r>
          </w:p>
        </w:tc>
        <w:tc>
          <w:tcPr>
            <w:tcW w:w="731" w:type="pct"/>
            <w:shd w:val="clear" w:color="auto" w:fill="auto"/>
            <w:noWrap/>
            <w:vAlign w:val="bottom"/>
            <w:hideMark/>
          </w:tcPr>
          <w:p w:rsidR="00036949" w:rsidRPr="00036949" w:rsidRDefault="00036949" w:rsidP="00265871">
            <w:pPr>
              <w:jc w:val="right"/>
              <w:rPr>
                <w:i/>
              </w:rPr>
            </w:pPr>
            <w:r w:rsidRPr="00036949">
              <w:rPr>
                <w:i/>
              </w:rPr>
              <w:t xml:space="preserve">     42.355    </w:t>
            </w:r>
          </w:p>
        </w:tc>
        <w:tc>
          <w:tcPr>
            <w:tcW w:w="731" w:type="pct"/>
            <w:shd w:val="clear" w:color="auto" w:fill="auto"/>
            <w:noWrap/>
            <w:vAlign w:val="bottom"/>
            <w:hideMark/>
          </w:tcPr>
          <w:p w:rsidR="00036949" w:rsidRPr="00036949" w:rsidRDefault="00036949" w:rsidP="00265871">
            <w:pPr>
              <w:jc w:val="right"/>
              <w:rPr>
                <w:i/>
              </w:rPr>
            </w:pPr>
            <w:r w:rsidRPr="00036949">
              <w:rPr>
                <w:i/>
              </w:rPr>
              <w:t xml:space="preserve">   101.869    </w:t>
            </w:r>
          </w:p>
        </w:tc>
        <w:tc>
          <w:tcPr>
            <w:tcW w:w="731" w:type="pct"/>
            <w:shd w:val="clear" w:color="auto" w:fill="auto"/>
            <w:noWrap/>
            <w:vAlign w:val="bottom"/>
            <w:hideMark/>
          </w:tcPr>
          <w:p w:rsidR="00036949" w:rsidRPr="00036949" w:rsidRDefault="00036949" w:rsidP="00265871">
            <w:pPr>
              <w:jc w:val="right"/>
              <w:rPr>
                <w:i/>
              </w:rPr>
            </w:pPr>
            <w:r w:rsidRPr="00036949">
              <w:rPr>
                <w:i/>
              </w:rPr>
              <w:t xml:space="preserve">   358.363    </w:t>
            </w:r>
          </w:p>
        </w:tc>
        <w:tc>
          <w:tcPr>
            <w:tcW w:w="731" w:type="pct"/>
            <w:shd w:val="clear" w:color="auto" w:fill="auto"/>
            <w:noWrap/>
            <w:vAlign w:val="bottom"/>
            <w:hideMark/>
          </w:tcPr>
          <w:p w:rsidR="00036949" w:rsidRPr="00036949" w:rsidRDefault="00036949" w:rsidP="00265871">
            <w:pPr>
              <w:jc w:val="right"/>
              <w:rPr>
                <w:i/>
              </w:rPr>
            </w:pPr>
            <w:r w:rsidRPr="00036949">
              <w:rPr>
                <w:i/>
              </w:rPr>
              <w:t xml:space="preserve">   726.816    </w:t>
            </w:r>
          </w:p>
        </w:tc>
      </w:tr>
      <w:tr w:rsidR="00036949" w:rsidRPr="00851305" w:rsidTr="00150318">
        <w:trPr>
          <w:trHeight w:val="283"/>
        </w:trPr>
        <w:tc>
          <w:tcPr>
            <w:tcW w:w="1346" w:type="pct"/>
            <w:shd w:val="clear" w:color="auto" w:fill="auto"/>
            <w:noWrap/>
            <w:vAlign w:val="bottom"/>
            <w:hideMark/>
          </w:tcPr>
          <w:p w:rsidR="00036949" w:rsidRPr="00851305" w:rsidRDefault="00036949" w:rsidP="00265871">
            <w:r w:rsidRPr="00851305">
              <w:t>Belçika</w:t>
            </w:r>
          </w:p>
        </w:tc>
        <w:tc>
          <w:tcPr>
            <w:tcW w:w="731" w:type="pct"/>
            <w:shd w:val="clear" w:color="auto" w:fill="auto"/>
            <w:noWrap/>
            <w:vAlign w:val="bottom"/>
            <w:hideMark/>
          </w:tcPr>
          <w:p w:rsidR="00036949" w:rsidRPr="00036949" w:rsidRDefault="00036949" w:rsidP="00265871">
            <w:pPr>
              <w:jc w:val="right"/>
            </w:pPr>
          </w:p>
        </w:tc>
        <w:tc>
          <w:tcPr>
            <w:tcW w:w="731" w:type="pct"/>
            <w:shd w:val="clear" w:color="auto" w:fill="auto"/>
            <w:noWrap/>
            <w:vAlign w:val="bottom"/>
            <w:hideMark/>
          </w:tcPr>
          <w:p w:rsidR="00036949" w:rsidRPr="00036949" w:rsidRDefault="00036949" w:rsidP="00265871">
            <w:pPr>
              <w:jc w:val="right"/>
            </w:pPr>
          </w:p>
        </w:tc>
        <w:tc>
          <w:tcPr>
            <w:tcW w:w="731" w:type="pct"/>
            <w:shd w:val="clear" w:color="auto" w:fill="auto"/>
            <w:noWrap/>
            <w:vAlign w:val="bottom"/>
            <w:hideMark/>
          </w:tcPr>
          <w:p w:rsidR="00036949" w:rsidRPr="00036949" w:rsidRDefault="00036949" w:rsidP="00265871">
            <w:pPr>
              <w:jc w:val="right"/>
            </w:pPr>
          </w:p>
        </w:tc>
        <w:tc>
          <w:tcPr>
            <w:tcW w:w="731" w:type="pct"/>
            <w:shd w:val="clear" w:color="auto" w:fill="auto"/>
            <w:noWrap/>
            <w:vAlign w:val="bottom"/>
            <w:hideMark/>
          </w:tcPr>
          <w:p w:rsidR="00036949" w:rsidRPr="00036949" w:rsidRDefault="00036949" w:rsidP="00265871">
            <w:pPr>
              <w:jc w:val="right"/>
            </w:pPr>
            <w:r w:rsidRPr="00036949">
              <w:t xml:space="preserve">   245.097    </w:t>
            </w:r>
          </w:p>
        </w:tc>
        <w:tc>
          <w:tcPr>
            <w:tcW w:w="731" w:type="pct"/>
            <w:shd w:val="clear" w:color="auto" w:fill="auto"/>
            <w:noWrap/>
            <w:vAlign w:val="bottom"/>
            <w:hideMark/>
          </w:tcPr>
          <w:p w:rsidR="00036949" w:rsidRPr="00036949" w:rsidRDefault="00036949" w:rsidP="00265871">
            <w:pPr>
              <w:jc w:val="right"/>
            </w:pPr>
            <w:r w:rsidRPr="00036949">
              <w:t xml:space="preserve">   369.525    </w:t>
            </w:r>
          </w:p>
        </w:tc>
      </w:tr>
      <w:tr w:rsidR="00036949" w:rsidRPr="00851305" w:rsidTr="00150318">
        <w:trPr>
          <w:trHeight w:val="283"/>
        </w:trPr>
        <w:tc>
          <w:tcPr>
            <w:tcW w:w="1346" w:type="pct"/>
            <w:shd w:val="clear" w:color="auto" w:fill="auto"/>
            <w:noWrap/>
            <w:vAlign w:val="bottom"/>
            <w:hideMark/>
          </w:tcPr>
          <w:p w:rsidR="00036949" w:rsidRPr="00150318" w:rsidRDefault="00036949" w:rsidP="00265871">
            <w:pPr>
              <w:rPr>
                <w:i/>
              </w:rPr>
            </w:pPr>
            <w:r w:rsidRPr="00150318">
              <w:rPr>
                <w:i/>
              </w:rPr>
              <w:t>Polonya</w:t>
            </w:r>
          </w:p>
        </w:tc>
        <w:tc>
          <w:tcPr>
            <w:tcW w:w="731" w:type="pct"/>
            <w:shd w:val="clear" w:color="auto" w:fill="auto"/>
            <w:noWrap/>
            <w:vAlign w:val="bottom"/>
            <w:hideMark/>
          </w:tcPr>
          <w:p w:rsidR="00036949" w:rsidRPr="00150318" w:rsidRDefault="00036949" w:rsidP="00265871">
            <w:pPr>
              <w:jc w:val="right"/>
              <w:rPr>
                <w:i/>
              </w:rPr>
            </w:pPr>
          </w:p>
        </w:tc>
        <w:tc>
          <w:tcPr>
            <w:tcW w:w="731" w:type="pct"/>
            <w:shd w:val="clear" w:color="auto" w:fill="auto"/>
            <w:noWrap/>
            <w:vAlign w:val="bottom"/>
            <w:hideMark/>
          </w:tcPr>
          <w:p w:rsidR="00036949" w:rsidRPr="00150318" w:rsidRDefault="00036949" w:rsidP="00265871">
            <w:pPr>
              <w:jc w:val="right"/>
              <w:rPr>
                <w:i/>
              </w:rPr>
            </w:pPr>
          </w:p>
        </w:tc>
        <w:tc>
          <w:tcPr>
            <w:tcW w:w="731" w:type="pct"/>
            <w:shd w:val="clear" w:color="auto" w:fill="auto"/>
            <w:noWrap/>
            <w:vAlign w:val="bottom"/>
            <w:hideMark/>
          </w:tcPr>
          <w:p w:rsidR="00036949" w:rsidRPr="00150318" w:rsidRDefault="00036949" w:rsidP="00265871">
            <w:pPr>
              <w:jc w:val="right"/>
              <w:rPr>
                <w:i/>
              </w:rPr>
            </w:pPr>
            <w:r w:rsidRPr="00150318">
              <w:rPr>
                <w:i/>
              </w:rPr>
              <w:t xml:space="preserve">            21    </w:t>
            </w:r>
          </w:p>
        </w:tc>
        <w:tc>
          <w:tcPr>
            <w:tcW w:w="731" w:type="pct"/>
            <w:shd w:val="clear" w:color="auto" w:fill="auto"/>
            <w:noWrap/>
            <w:vAlign w:val="bottom"/>
            <w:hideMark/>
          </w:tcPr>
          <w:p w:rsidR="00036949" w:rsidRPr="00150318" w:rsidRDefault="00036949" w:rsidP="00265871">
            <w:pPr>
              <w:jc w:val="right"/>
              <w:rPr>
                <w:i/>
              </w:rPr>
            </w:pPr>
            <w:r w:rsidRPr="00150318">
              <w:rPr>
                <w:i/>
              </w:rPr>
              <w:t xml:space="preserve">     88.476    </w:t>
            </w:r>
          </w:p>
        </w:tc>
        <w:tc>
          <w:tcPr>
            <w:tcW w:w="731" w:type="pct"/>
            <w:shd w:val="clear" w:color="auto" w:fill="auto"/>
            <w:noWrap/>
            <w:vAlign w:val="bottom"/>
            <w:hideMark/>
          </w:tcPr>
          <w:p w:rsidR="00036949" w:rsidRPr="00150318" w:rsidRDefault="00036949" w:rsidP="00265871">
            <w:pPr>
              <w:jc w:val="right"/>
              <w:rPr>
                <w:i/>
              </w:rPr>
            </w:pPr>
            <w:r w:rsidRPr="00150318">
              <w:rPr>
                <w:i/>
              </w:rPr>
              <w:t xml:space="preserve">   194.787    </w:t>
            </w:r>
          </w:p>
        </w:tc>
      </w:tr>
      <w:tr w:rsidR="00036949" w:rsidRPr="00851305" w:rsidTr="00150318">
        <w:trPr>
          <w:trHeight w:val="283"/>
        </w:trPr>
        <w:tc>
          <w:tcPr>
            <w:tcW w:w="1346" w:type="pct"/>
            <w:shd w:val="clear" w:color="auto" w:fill="auto"/>
            <w:noWrap/>
            <w:vAlign w:val="bottom"/>
            <w:hideMark/>
          </w:tcPr>
          <w:p w:rsidR="00036949" w:rsidRPr="00150318" w:rsidRDefault="00036949" w:rsidP="00265871">
            <w:pPr>
              <w:rPr>
                <w:i/>
              </w:rPr>
            </w:pPr>
            <w:r w:rsidRPr="00150318">
              <w:rPr>
                <w:i/>
              </w:rPr>
              <w:t>Portekiz</w:t>
            </w:r>
          </w:p>
        </w:tc>
        <w:tc>
          <w:tcPr>
            <w:tcW w:w="731" w:type="pct"/>
            <w:shd w:val="clear" w:color="auto" w:fill="auto"/>
            <w:noWrap/>
            <w:vAlign w:val="bottom"/>
            <w:hideMark/>
          </w:tcPr>
          <w:p w:rsidR="00036949" w:rsidRPr="00150318" w:rsidRDefault="00036949" w:rsidP="00265871">
            <w:pPr>
              <w:jc w:val="right"/>
              <w:rPr>
                <w:i/>
              </w:rPr>
            </w:pPr>
          </w:p>
        </w:tc>
        <w:tc>
          <w:tcPr>
            <w:tcW w:w="731" w:type="pct"/>
            <w:shd w:val="clear" w:color="auto" w:fill="auto"/>
            <w:noWrap/>
            <w:vAlign w:val="bottom"/>
            <w:hideMark/>
          </w:tcPr>
          <w:p w:rsidR="00036949" w:rsidRPr="00150318" w:rsidRDefault="00036949" w:rsidP="00265871">
            <w:pPr>
              <w:jc w:val="right"/>
              <w:rPr>
                <w:i/>
              </w:rPr>
            </w:pPr>
          </w:p>
        </w:tc>
        <w:tc>
          <w:tcPr>
            <w:tcW w:w="731" w:type="pct"/>
            <w:shd w:val="clear" w:color="auto" w:fill="auto"/>
            <w:noWrap/>
            <w:vAlign w:val="bottom"/>
            <w:hideMark/>
          </w:tcPr>
          <w:p w:rsidR="00036949" w:rsidRPr="00150318" w:rsidRDefault="00036949" w:rsidP="00265871">
            <w:pPr>
              <w:jc w:val="right"/>
              <w:rPr>
                <w:i/>
              </w:rPr>
            </w:pPr>
          </w:p>
        </w:tc>
        <w:tc>
          <w:tcPr>
            <w:tcW w:w="731" w:type="pct"/>
            <w:shd w:val="clear" w:color="auto" w:fill="auto"/>
            <w:noWrap/>
            <w:vAlign w:val="bottom"/>
            <w:hideMark/>
          </w:tcPr>
          <w:p w:rsidR="00036949" w:rsidRPr="00150318" w:rsidRDefault="00036949" w:rsidP="00265871">
            <w:pPr>
              <w:jc w:val="right"/>
              <w:rPr>
                <w:i/>
              </w:rPr>
            </w:pPr>
          </w:p>
        </w:tc>
        <w:tc>
          <w:tcPr>
            <w:tcW w:w="731" w:type="pct"/>
            <w:shd w:val="clear" w:color="auto" w:fill="auto"/>
            <w:noWrap/>
            <w:vAlign w:val="bottom"/>
            <w:hideMark/>
          </w:tcPr>
          <w:p w:rsidR="00036949" w:rsidRPr="00150318" w:rsidRDefault="00036949" w:rsidP="00265871">
            <w:pPr>
              <w:jc w:val="right"/>
              <w:rPr>
                <w:i/>
              </w:rPr>
            </w:pPr>
            <w:r w:rsidRPr="00150318">
              <w:rPr>
                <w:i/>
              </w:rPr>
              <w:t xml:space="preserve">   106.340    </w:t>
            </w:r>
          </w:p>
        </w:tc>
      </w:tr>
      <w:tr w:rsidR="00036949" w:rsidRPr="00851305" w:rsidTr="00150318">
        <w:trPr>
          <w:trHeight w:val="283"/>
        </w:trPr>
        <w:tc>
          <w:tcPr>
            <w:tcW w:w="1346" w:type="pct"/>
            <w:shd w:val="clear" w:color="auto" w:fill="auto"/>
            <w:noWrap/>
            <w:vAlign w:val="bottom"/>
            <w:hideMark/>
          </w:tcPr>
          <w:p w:rsidR="00036949" w:rsidRPr="00851305" w:rsidRDefault="00036949" w:rsidP="00265871">
            <w:r w:rsidRPr="00851305">
              <w:t>İngiltere</w:t>
            </w:r>
          </w:p>
        </w:tc>
        <w:tc>
          <w:tcPr>
            <w:tcW w:w="731" w:type="pct"/>
            <w:shd w:val="clear" w:color="auto" w:fill="auto"/>
            <w:noWrap/>
            <w:vAlign w:val="bottom"/>
            <w:hideMark/>
          </w:tcPr>
          <w:p w:rsidR="00036949" w:rsidRPr="00036949" w:rsidRDefault="00036949" w:rsidP="00265871">
            <w:pPr>
              <w:jc w:val="right"/>
            </w:pPr>
            <w:r w:rsidRPr="00036949">
              <w:t xml:space="preserve">     13.948    </w:t>
            </w:r>
          </w:p>
        </w:tc>
        <w:tc>
          <w:tcPr>
            <w:tcW w:w="731" w:type="pct"/>
            <w:shd w:val="clear" w:color="auto" w:fill="auto"/>
            <w:noWrap/>
            <w:vAlign w:val="bottom"/>
            <w:hideMark/>
          </w:tcPr>
          <w:p w:rsidR="00036949" w:rsidRPr="00036949" w:rsidRDefault="00036949" w:rsidP="00265871">
            <w:pPr>
              <w:jc w:val="right"/>
            </w:pPr>
            <w:r w:rsidRPr="00036949">
              <w:t xml:space="preserve">       5.903    </w:t>
            </w:r>
          </w:p>
        </w:tc>
        <w:tc>
          <w:tcPr>
            <w:tcW w:w="731" w:type="pct"/>
            <w:shd w:val="clear" w:color="auto" w:fill="auto"/>
            <w:noWrap/>
            <w:vAlign w:val="bottom"/>
            <w:hideMark/>
          </w:tcPr>
          <w:p w:rsidR="00036949" w:rsidRPr="00036949" w:rsidRDefault="00036949" w:rsidP="00265871">
            <w:pPr>
              <w:jc w:val="right"/>
            </w:pPr>
            <w:r w:rsidRPr="00036949">
              <w:t xml:space="preserve">     25.729    </w:t>
            </w:r>
          </w:p>
        </w:tc>
        <w:tc>
          <w:tcPr>
            <w:tcW w:w="731" w:type="pct"/>
            <w:shd w:val="clear" w:color="auto" w:fill="auto"/>
            <w:noWrap/>
            <w:vAlign w:val="bottom"/>
            <w:hideMark/>
          </w:tcPr>
          <w:p w:rsidR="00036949" w:rsidRPr="00036949" w:rsidRDefault="00036949" w:rsidP="00265871">
            <w:pPr>
              <w:jc w:val="right"/>
            </w:pPr>
            <w:r w:rsidRPr="00036949">
              <w:t xml:space="preserve">     21.679    </w:t>
            </w:r>
          </w:p>
        </w:tc>
        <w:tc>
          <w:tcPr>
            <w:tcW w:w="731" w:type="pct"/>
            <w:shd w:val="clear" w:color="auto" w:fill="auto"/>
            <w:noWrap/>
            <w:vAlign w:val="bottom"/>
            <w:hideMark/>
          </w:tcPr>
          <w:p w:rsidR="00036949" w:rsidRPr="00036949" w:rsidRDefault="00036949" w:rsidP="00265871">
            <w:pPr>
              <w:jc w:val="right"/>
            </w:pPr>
            <w:r w:rsidRPr="00036949">
              <w:t xml:space="preserve">     48.104    </w:t>
            </w:r>
          </w:p>
        </w:tc>
      </w:tr>
      <w:tr w:rsidR="00036949" w:rsidRPr="00851305" w:rsidTr="00150318">
        <w:trPr>
          <w:trHeight w:val="283"/>
        </w:trPr>
        <w:tc>
          <w:tcPr>
            <w:tcW w:w="1346" w:type="pct"/>
            <w:shd w:val="clear" w:color="auto" w:fill="auto"/>
            <w:noWrap/>
            <w:vAlign w:val="bottom"/>
            <w:hideMark/>
          </w:tcPr>
          <w:p w:rsidR="00036949" w:rsidRPr="00851305" w:rsidRDefault="00036949" w:rsidP="00265871">
            <w:r w:rsidRPr="00851305">
              <w:t>Litvanya</w:t>
            </w:r>
          </w:p>
        </w:tc>
        <w:tc>
          <w:tcPr>
            <w:tcW w:w="731" w:type="pct"/>
            <w:shd w:val="clear" w:color="auto" w:fill="auto"/>
            <w:noWrap/>
            <w:vAlign w:val="bottom"/>
            <w:hideMark/>
          </w:tcPr>
          <w:p w:rsidR="00036949" w:rsidRPr="00036949" w:rsidRDefault="00036949" w:rsidP="00265871">
            <w:pPr>
              <w:jc w:val="right"/>
            </w:pPr>
          </w:p>
        </w:tc>
        <w:tc>
          <w:tcPr>
            <w:tcW w:w="731" w:type="pct"/>
            <w:shd w:val="clear" w:color="auto" w:fill="auto"/>
            <w:noWrap/>
            <w:vAlign w:val="bottom"/>
            <w:hideMark/>
          </w:tcPr>
          <w:p w:rsidR="00036949" w:rsidRPr="00036949" w:rsidRDefault="00036949" w:rsidP="00265871">
            <w:pPr>
              <w:jc w:val="right"/>
            </w:pPr>
            <w:r w:rsidRPr="00036949">
              <w:t xml:space="preserve">            43    </w:t>
            </w:r>
          </w:p>
        </w:tc>
        <w:tc>
          <w:tcPr>
            <w:tcW w:w="731" w:type="pct"/>
            <w:shd w:val="clear" w:color="auto" w:fill="auto"/>
            <w:noWrap/>
            <w:vAlign w:val="bottom"/>
            <w:hideMark/>
          </w:tcPr>
          <w:p w:rsidR="00036949" w:rsidRPr="00036949" w:rsidRDefault="00036949" w:rsidP="00265871">
            <w:pPr>
              <w:jc w:val="right"/>
            </w:pPr>
            <w:r w:rsidRPr="00036949">
              <w:t xml:space="preserve">     13.428    </w:t>
            </w:r>
          </w:p>
        </w:tc>
        <w:tc>
          <w:tcPr>
            <w:tcW w:w="731" w:type="pct"/>
            <w:shd w:val="clear" w:color="auto" w:fill="auto"/>
            <w:noWrap/>
            <w:vAlign w:val="bottom"/>
            <w:hideMark/>
          </w:tcPr>
          <w:p w:rsidR="00036949" w:rsidRPr="00036949" w:rsidRDefault="00036949" w:rsidP="00265871">
            <w:pPr>
              <w:jc w:val="right"/>
            </w:pPr>
            <w:r w:rsidRPr="00036949">
              <w:t xml:space="preserve">       3.085    </w:t>
            </w:r>
          </w:p>
        </w:tc>
        <w:tc>
          <w:tcPr>
            <w:tcW w:w="731" w:type="pct"/>
            <w:shd w:val="clear" w:color="auto" w:fill="auto"/>
            <w:noWrap/>
            <w:vAlign w:val="bottom"/>
            <w:hideMark/>
          </w:tcPr>
          <w:p w:rsidR="00036949" w:rsidRPr="00036949" w:rsidRDefault="00036949" w:rsidP="00265871">
            <w:pPr>
              <w:jc w:val="right"/>
            </w:pPr>
            <w:r w:rsidRPr="00036949">
              <w:t xml:space="preserve">       7.669    </w:t>
            </w:r>
          </w:p>
        </w:tc>
      </w:tr>
      <w:tr w:rsidR="00036949" w:rsidRPr="00851305" w:rsidTr="00150318">
        <w:trPr>
          <w:trHeight w:val="283"/>
        </w:trPr>
        <w:tc>
          <w:tcPr>
            <w:tcW w:w="1346" w:type="pct"/>
            <w:shd w:val="clear" w:color="auto" w:fill="auto"/>
            <w:noWrap/>
            <w:vAlign w:val="bottom"/>
            <w:hideMark/>
          </w:tcPr>
          <w:p w:rsidR="00036949" w:rsidRPr="00851305" w:rsidRDefault="00036949" w:rsidP="00265871">
            <w:r w:rsidRPr="00851305">
              <w:t xml:space="preserve">Almanya </w:t>
            </w:r>
          </w:p>
        </w:tc>
        <w:tc>
          <w:tcPr>
            <w:tcW w:w="731" w:type="pct"/>
            <w:shd w:val="clear" w:color="auto" w:fill="auto"/>
            <w:noWrap/>
            <w:vAlign w:val="bottom"/>
            <w:hideMark/>
          </w:tcPr>
          <w:p w:rsidR="00036949" w:rsidRPr="00036949" w:rsidRDefault="00036949" w:rsidP="00265871">
            <w:pPr>
              <w:jc w:val="right"/>
            </w:pPr>
          </w:p>
        </w:tc>
        <w:tc>
          <w:tcPr>
            <w:tcW w:w="731" w:type="pct"/>
            <w:shd w:val="clear" w:color="auto" w:fill="auto"/>
            <w:noWrap/>
            <w:vAlign w:val="bottom"/>
            <w:hideMark/>
          </w:tcPr>
          <w:p w:rsidR="00036949" w:rsidRPr="00036949" w:rsidRDefault="00036949" w:rsidP="00265871">
            <w:pPr>
              <w:jc w:val="right"/>
            </w:pPr>
            <w:r w:rsidRPr="00036949">
              <w:t xml:space="preserve">              1    </w:t>
            </w:r>
          </w:p>
        </w:tc>
        <w:tc>
          <w:tcPr>
            <w:tcW w:w="731" w:type="pct"/>
            <w:shd w:val="clear" w:color="auto" w:fill="auto"/>
            <w:noWrap/>
            <w:vAlign w:val="bottom"/>
            <w:hideMark/>
          </w:tcPr>
          <w:p w:rsidR="00036949" w:rsidRPr="00036949" w:rsidRDefault="00036949" w:rsidP="00265871">
            <w:pPr>
              <w:jc w:val="right"/>
            </w:pPr>
            <w:r w:rsidRPr="00036949">
              <w:t xml:space="preserve">              1    </w:t>
            </w:r>
          </w:p>
        </w:tc>
        <w:tc>
          <w:tcPr>
            <w:tcW w:w="731" w:type="pct"/>
            <w:shd w:val="clear" w:color="auto" w:fill="auto"/>
            <w:noWrap/>
            <w:vAlign w:val="bottom"/>
            <w:hideMark/>
          </w:tcPr>
          <w:p w:rsidR="00036949" w:rsidRPr="00036949" w:rsidRDefault="00036949" w:rsidP="00265871">
            <w:pPr>
              <w:jc w:val="right"/>
            </w:pPr>
            <w:r w:rsidRPr="00036949">
              <w:t xml:space="preserve">            25    </w:t>
            </w:r>
          </w:p>
        </w:tc>
        <w:tc>
          <w:tcPr>
            <w:tcW w:w="731" w:type="pct"/>
            <w:shd w:val="clear" w:color="auto" w:fill="auto"/>
            <w:noWrap/>
            <w:vAlign w:val="bottom"/>
            <w:hideMark/>
          </w:tcPr>
          <w:p w:rsidR="00036949" w:rsidRPr="00036949" w:rsidRDefault="00036949" w:rsidP="00265871">
            <w:pPr>
              <w:jc w:val="right"/>
            </w:pPr>
            <w:r w:rsidRPr="00036949">
              <w:t xml:space="preserve">          391    </w:t>
            </w:r>
          </w:p>
        </w:tc>
      </w:tr>
      <w:tr w:rsidR="00036949" w:rsidRPr="00851305" w:rsidTr="00150318">
        <w:trPr>
          <w:trHeight w:val="283"/>
        </w:trPr>
        <w:tc>
          <w:tcPr>
            <w:tcW w:w="1346" w:type="pct"/>
            <w:shd w:val="clear" w:color="auto" w:fill="auto"/>
            <w:noWrap/>
            <w:vAlign w:val="bottom"/>
            <w:hideMark/>
          </w:tcPr>
          <w:p w:rsidR="00036949" w:rsidRPr="00851305" w:rsidRDefault="00036949" w:rsidP="00265871">
            <w:r>
              <w:t>Diğer</w:t>
            </w:r>
          </w:p>
        </w:tc>
        <w:tc>
          <w:tcPr>
            <w:tcW w:w="731" w:type="pct"/>
            <w:shd w:val="clear" w:color="auto" w:fill="auto"/>
            <w:noWrap/>
            <w:vAlign w:val="bottom"/>
            <w:hideMark/>
          </w:tcPr>
          <w:p w:rsidR="00036949" w:rsidRPr="00036949" w:rsidRDefault="00036949" w:rsidP="00265871">
            <w:pPr>
              <w:jc w:val="right"/>
            </w:pPr>
            <w:r w:rsidRPr="00036949">
              <w:t xml:space="preserve">     45.354    </w:t>
            </w:r>
          </w:p>
        </w:tc>
        <w:tc>
          <w:tcPr>
            <w:tcW w:w="731" w:type="pct"/>
            <w:shd w:val="clear" w:color="auto" w:fill="auto"/>
            <w:noWrap/>
            <w:vAlign w:val="bottom"/>
            <w:hideMark/>
          </w:tcPr>
          <w:p w:rsidR="00036949" w:rsidRPr="00036949" w:rsidRDefault="00036949" w:rsidP="00265871">
            <w:pPr>
              <w:jc w:val="right"/>
            </w:pPr>
            <w:r w:rsidRPr="00036949">
              <w:t xml:space="preserve">     36.408    </w:t>
            </w:r>
          </w:p>
        </w:tc>
        <w:tc>
          <w:tcPr>
            <w:tcW w:w="731" w:type="pct"/>
            <w:shd w:val="clear" w:color="auto" w:fill="auto"/>
            <w:noWrap/>
            <w:vAlign w:val="bottom"/>
            <w:hideMark/>
          </w:tcPr>
          <w:p w:rsidR="00036949" w:rsidRPr="00036949" w:rsidRDefault="00036949" w:rsidP="00265871">
            <w:pPr>
              <w:jc w:val="right"/>
            </w:pPr>
            <w:r w:rsidRPr="00036949">
              <w:t xml:space="preserve">     62.691    </w:t>
            </w:r>
          </w:p>
        </w:tc>
        <w:tc>
          <w:tcPr>
            <w:tcW w:w="731" w:type="pct"/>
            <w:shd w:val="clear" w:color="auto" w:fill="auto"/>
            <w:noWrap/>
            <w:vAlign w:val="bottom"/>
          </w:tcPr>
          <w:p w:rsidR="00036949" w:rsidRPr="00036949" w:rsidRDefault="00036949" w:rsidP="00265871">
            <w:pPr>
              <w:jc w:val="right"/>
            </w:pPr>
          </w:p>
        </w:tc>
        <w:tc>
          <w:tcPr>
            <w:tcW w:w="731" w:type="pct"/>
            <w:shd w:val="clear" w:color="auto" w:fill="auto"/>
            <w:noWrap/>
            <w:vAlign w:val="bottom"/>
          </w:tcPr>
          <w:p w:rsidR="00036949" w:rsidRPr="00036949" w:rsidRDefault="00036949" w:rsidP="00265871">
            <w:pPr>
              <w:jc w:val="right"/>
            </w:pPr>
          </w:p>
        </w:tc>
      </w:tr>
    </w:tbl>
    <w:p w:rsidR="00F86AC4" w:rsidRDefault="00F86AC4" w:rsidP="00B71C2E">
      <w:pPr>
        <w:ind w:firstLine="708"/>
        <w:jc w:val="both"/>
      </w:pPr>
    </w:p>
    <w:p w:rsidR="00B51A9E" w:rsidRDefault="00B71C2E" w:rsidP="00B71C2E">
      <w:pPr>
        <w:ind w:firstLine="708"/>
        <w:jc w:val="both"/>
      </w:pPr>
      <w:r>
        <w:t>Portekiz</w:t>
      </w:r>
      <w:r w:rsidR="001528B7">
        <w:t xml:space="preserve"> ve Polonya</w:t>
      </w:r>
      <w:r>
        <w:t>’d</w:t>
      </w:r>
      <w:r w:rsidR="001528B7">
        <w:t>a</w:t>
      </w:r>
      <w:r>
        <w:t xml:space="preserve"> </w:t>
      </w:r>
      <w:r w:rsidR="004775CE">
        <w:t>kurulan ve 700.000 ton/yıl</w:t>
      </w:r>
      <w:r w:rsidR="001528B7">
        <w:t xml:space="preserve"> ve 600.000 ton/yıl</w:t>
      </w:r>
      <w:r w:rsidR="004775CE">
        <w:t xml:space="preserve"> kapasiteye sahip bu </w:t>
      </w:r>
      <w:r w:rsidR="001528B7">
        <w:t xml:space="preserve">iki </w:t>
      </w:r>
      <w:r w:rsidR="004775CE">
        <w:t>yeni tesisin Türkiye’ye yakın bir coğrafyada üretime başlamış olması ve müşteri bulmada yaşadı</w:t>
      </w:r>
      <w:r w:rsidR="002B369D">
        <w:t>ğı</w:t>
      </w:r>
      <w:r w:rsidR="004775CE">
        <w:t xml:space="preserve"> zorluklar </w:t>
      </w:r>
      <w:r w:rsidR="001528B7">
        <w:t xml:space="preserve">ülkemize yapılan </w:t>
      </w:r>
      <w:r w:rsidR="004775CE">
        <w:t xml:space="preserve">PTA </w:t>
      </w:r>
      <w:r w:rsidR="004573CF">
        <w:t>ihracatının</w:t>
      </w:r>
      <w:r w:rsidR="001528B7">
        <w:t xml:space="preserve"> artmasına yol açmıştır. </w:t>
      </w:r>
      <w:r w:rsidR="004775CE">
        <w:t xml:space="preserve"> </w:t>
      </w:r>
    </w:p>
    <w:p w:rsidR="005F0550" w:rsidRPr="00EA18AC" w:rsidRDefault="005F0550" w:rsidP="008129B1">
      <w:pPr>
        <w:pStyle w:val="Balk4"/>
      </w:pPr>
      <w:r w:rsidRPr="00EA18AC">
        <w:t xml:space="preserve">Talep </w:t>
      </w:r>
      <w:r w:rsidR="00C42474" w:rsidRPr="00EA18AC">
        <w:t>artışı</w:t>
      </w:r>
    </w:p>
    <w:p w:rsidR="005F0550" w:rsidRPr="005F0550" w:rsidRDefault="005F0550" w:rsidP="005F0550">
      <w:pPr>
        <w:ind w:firstLine="708"/>
        <w:jc w:val="both"/>
      </w:pPr>
      <w:r w:rsidRPr="00EA18AC">
        <w:t>Ülkemiz piyasasında PTA’nın hammadde olarak kullanıldığı</w:t>
      </w:r>
      <w:r w:rsidR="008C799E">
        <w:t xml:space="preserve"> bazı</w:t>
      </w:r>
      <w:r w:rsidRPr="00EA18AC">
        <w:t xml:space="preserve"> ürün grupları açısından ciddi bir talep artışı yaşanmaktadır. Talep artışı esasen yerli üretici firmanın daha rahat satış yapmasına yardımcı olacak bir unsurdur. Ancak soruşturma konusu ürünü üreten başvuru sahibi firma </w:t>
      </w:r>
      <w:r w:rsidR="008B506C">
        <w:t>özelikle 2012 ve 2013 yıllarında ortaya çıkan</w:t>
      </w:r>
      <w:r w:rsidRPr="00EA18AC">
        <w:t xml:space="preserve"> talep artışından faydalanamamış, talep artışı ithalat ile </w:t>
      </w:r>
      <w:r w:rsidRPr="00F93A9F">
        <w:t>karşılanmış ve bu artış nedeniyle firma üretimini durdurmak zorunda kalmıştır. İthalatın pi</w:t>
      </w:r>
      <w:r w:rsidR="00F86AC4" w:rsidRPr="00F93A9F">
        <w:t xml:space="preserve">yasa payı </w:t>
      </w:r>
      <w:r w:rsidR="00F93A9F" w:rsidRPr="00F93A9F">
        <w:t xml:space="preserve">endeksi </w:t>
      </w:r>
      <w:r w:rsidR="00F86AC4" w:rsidRPr="00F93A9F">
        <w:t xml:space="preserve">2008-2011 döneminde </w:t>
      </w:r>
      <w:r w:rsidR="00F93A9F" w:rsidRPr="00F93A9F">
        <w:t>temel</w:t>
      </w:r>
      <w:r w:rsidRPr="00F93A9F">
        <w:t xml:space="preserve"> </w:t>
      </w:r>
      <w:r w:rsidR="00F93A9F" w:rsidRPr="00F93A9F">
        <w:t xml:space="preserve">yıl </w:t>
      </w:r>
      <w:r w:rsidR="00F93A9F" w:rsidRPr="00F93A9F">
        <w:lastRenderedPageBreak/>
        <w:t xml:space="preserve">olan 2008’deki seviye </w:t>
      </w:r>
      <w:r w:rsidRPr="00F93A9F">
        <w:t xml:space="preserve">civarında iken </w:t>
      </w:r>
      <w:r w:rsidR="00F86AC4" w:rsidRPr="00F93A9F">
        <w:t xml:space="preserve">2012-2013 döneminde </w:t>
      </w:r>
      <w:r w:rsidR="00F93A9F" w:rsidRPr="00F93A9F">
        <w:t xml:space="preserve">2008’e göre </w:t>
      </w:r>
      <w:r w:rsidR="00F86AC4" w:rsidRPr="00F93A9F">
        <w:t xml:space="preserve">sırasıyla </w:t>
      </w:r>
      <w:r w:rsidR="00F93A9F" w:rsidRPr="00F93A9F">
        <w:t xml:space="preserve">%14 ve </w:t>
      </w:r>
      <w:r w:rsidR="00F86AC4" w:rsidRPr="00F93A9F">
        <w:t>%</w:t>
      </w:r>
      <w:r w:rsidR="00F93A9F" w:rsidRPr="00F93A9F">
        <w:t>19 oranlarında artmıştır.</w:t>
      </w:r>
    </w:p>
    <w:p w:rsidR="005F0550" w:rsidRPr="005F0550" w:rsidRDefault="00DF5412" w:rsidP="008129B1">
      <w:pPr>
        <w:pStyle w:val="Balk4"/>
      </w:pPr>
      <w:r>
        <w:t>Sonuç</w:t>
      </w:r>
    </w:p>
    <w:p w:rsidR="00DF5412" w:rsidRDefault="00DF5412" w:rsidP="00DF5412">
      <w:pPr>
        <w:ind w:firstLine="708"/>
        <w:jc w:val="both"/>
      </w:pPr>
      <w:r>
        <w:t>Yukarıdaki değerlendirmeler ışığında, Türkiye’ye yapılan PTA ithalatında inceleme döneminde yaşanan ani</w:t>
      </w:r>
      <w:r w:rsidR="001528B7">
        <w:t>, ciddi</w:t>
      </w:r>
      <w:r>
        <w:t xml:space="preserve"> ve keskin artışın, </w:t>
      </w:r>
      <w:r w:rsidR="00D97278">
        <w:t>özellikle son 3</w:t>
      </w:r>
      <w:r w:rsidR="003C275D">
        <w:t xml:space="preserve"> yılda yaşanan gelişmelerden kaynaklandığı tespit edilmiştir. </w:t>
      </w:r>
      <w:proofErr w:type="gramStart"/>
      <w:r w:rsidR="003C275D">
        <w:t xml:space="preserve">Bunlar, </w:t>
      </w:r>
      <w:r>
        <w:t xml:space="preserve">Avrupa’da </w:t>
      </w:r>
      <w:r w:rsidR="004D572A">
        <w:t xml:space="preserve">daha önceden artması öngörüldüğü halde </w:t>
      </w:r>
      <w:r w:rsidR="003C275D">
        <w:t xml:space="preserve">son </w:t>
      </w:r>
      <w:r w:rsidR="00DF4345">
        <w:t>dönemde</w:t>
      </w:r>
      <w:r w:rsidR="003C275D">
        <w:t xml:space="preserve"> </w:t>
      </w:r>
      <w:r w:rsidR="00DF4345">
        <w:t>gerileyen</w:t>
      </w:r>
      <w:r>
        <w:t xml:space="preserve"> tüketim</w:t>
      </w:r>
      <w:r w:rsidR="00DF4345">
        <w:t>e</w:t>
      </w:r>
      <w:r>
        <w:t xml:space="preserve"> </w:t>
      </w:r>
      <w:r w:rsidR="00DF4345">
        <w:t>rağmen</w:t>
      </w:r>
      <w:r>
        <w:t xml:space="preserve"> artan üretim kapasitesi</w:t>
      </w:r>
      <w:r w:rsidR="004D572A">
        <w:t>;</w:t>
      </w:r>
      <w:r>
        <w:t xml:space="preserve"> </w:t>
      </w:r>
      <w:r w:rsidR="00F552F3">
        <w:t xml:space="preserve">özellikle </w:t>
      </w:r>
      <w:r w:rsidR="003C275D">
        <w:t>s</w:t>
      </w:r>
      <w:r>
        <w:t xml:space="preserve">on 2 yılda </w:t>
      </w:r>
      <w:r w:rsidR="004D572A">
        <w:t xml:space="preserve">Avrupa’da </w:t>
      </w:r>
      <w:r>
        <w:t xml:space="preserve">faaliyete geçen </w:t>
      </w:r>
      <w:r w:rsidR="004D572A">
        <w:t>ve bir kısmı yatırım aşamasında yurt</w:t>
      </w:r>
      <w:r w:rsidR="00E73285">
        <w:t xml:space="preserve"> </w:t>
      </w:r>
      <w:r w:rsidR="004D572A">
        <w:t xml:space="preserve">içi piyasayı hedefleyen </w:t>
      </w:r>
      <w:r>
        <w:t xml:space="preserve">yeni üreticilerin </w:t>
      </w:r>
      <w:r w:rsidR="00DF4345">
        <w:t>ürünlerini</w:t>
      </w:r>
      <w:r w:rsidR="003C275D">
        <w:t xml:space="preserve"> satmak için pazar arayışına girmesi ve </w:t>
      </w:r>
      <w:r>
        <w:t>ihracat pazar</w:t>
      </w:r>
      <w:r w:rsidR="00C061EE">
        <w:t>lar</w:t>
      </w:r>
      <w:r>
        <w:t>ına yönelmesi</w:t>
      </w:r>
      <w:r w:rsidR="004D572A">
        <w:t>;</w:t>
      </w:r>
      <w:r w:rsidR="00F552F3">
        <w:t xml:space="preserve"> </w:t>
      </w:r>
      <w:r w:rsidR="004D572A">
        <w:t>bun</w:t>
      </w:r>
      <w:r w:rsidR="002A2251">
        <w:t>ların</w:t>
      </w:r>
      <w:r w:rsidR="004D572A">
        <w:t xml:space="preserve"> </w:t>
      </w:r>
      <w:r w:rsidR="00F552F3">
        <w:t>sonucunda 2010 yılından 2012 yılına kadar 7 kattan fazla artan AB ihracatı</w:t>
      </w:r>
      <w:r w:rsidR="003C275D">
        <w:t>;</w:t>
      </w:r>
      <w:r>
        <w:t xml:space="preserve"> </w:t>
      </w:r>
      <w:r w:rsidR="008A4D5A">
        <w:t xml:space="preserve">Çin </w:t>
      </w:r>
      <w:proofErr w:type="spellStart"/>
      <w:r w:rsidR="008A4D5A">
        <w:t>PTA</w:t>
      </w:r>
      <w:proofErr w:type="spellEnd"/>
      <w:r w:rsidR="008A4D5A">
        <w:t xml:space="preserve"> talebinin azalması sonucu AB ülkelerinin Çin pazarına ihracatlarının azalması; </w:t>
      </w:r>
      <w:r>
        <w:t xml:space="preserve">Türkiye’nin </w:t>
      </w:r>
      <w:r w:rsidR="003C275D">
        <w:t xml:space="preserve">büyük </w:t>
      </w:r>
      <w:proofErr w:type="spellStart"/>
      <w:r w:rsidR="0051770F">
        <w:t>PTA</w:t>
      </w:r>
      <w:proofErr w:type="spellEnd"/>
      <w:r w:rsidR="003C275D">
        <w:t xml:space="preserve"> </w:t>
      </w:r>
      <w:r w:rsidR="0051770F">
        <w:t>tüketim</w:t>
      </w:r>
      <w:r w:rsidR="003C275D">
        <w:t xml:space="preserve"> kapasitesi ve </w:t>
      </w:r>
      <w:r>
        <w:t>coğrafi yakınlığı nedeniyle Avrupalı üreticiler için cazip bir pazar konumuna gelmesi</w:t>
      </w:r>
      <w:r w:rsidR="00F552F3">
        <w:t xml:space="preserve"> ve 7 kat kadar artan AB ihracatının 2011 yılında </w:t>
      </w:r>
      <w:r w:rsidR="00A46A9D">
        <w:t xml:space="preserve"> </w:t>
      </w:r>
      <w:r w:rsidR="00F552F3">
        <w:t xml:space="preserve">%40’nın, 2012 yılında ise %29’un </w:t>
      </w:r>
      <w:r w:rsidR="001528B7">
        <w:t xml:space="preserve">ülkemize </w:t>
      </w:r>
      <w:r w:rsidR="00F552F3">
        <w:t>yönel</w:t>
      </w:r>
      <w:r w:rsidR="001528B7">
        <w:t xml:space="preserve">miş </w:t>
      </w:r>
      <w:r w:rsidR="00F552F3">
        <w:t>olmasıdır</w:t>
      </w:r>
      <w:r>
        <w:t>.</w:t>
      </w:r>
      <w:proofErr w:type="gramEnd"/>
    </w:p>
    <w:p w:rsidR="00A83B7B" w:rsidRPr="00F250BA" w:rsidRDefault="00A83B7B" w:rsidP="00A83B7B">
      <w:pPr>
        <w:pStyle w:val="Balk2"/>
        <w:rPr>
          <w:lang w:eastAsia="en-US"/>
        </w:rPr>
      </w:pPr>
      <w:bookmarkStart w:id="52" w:name="_Toc384116974"/>
      <w:r w:rsidRPr="00125018">
        <w:t xml:space="preserve">SORUŞTURMA KONUSU </w:t>
      </w:r>
      <w:r>
        <w:t>EŞYANIN İTHALATI İLE İLGİLİ BİLGİLER</w:t>
      </w:r>
      <w:bookmarkEnd w:id="52"/>
    </w:p>
    <w:p w:rsidR="00A83B7B" w:rsidRPr="00F250BA" w:rsidRDefault="00A83B7B" w:rsidP="00A83B7B">
      <w:pPr>
        <w:pStyle w:val="ListeParagraf"/>
        <w:widowControl w:val="0"/>
        <w:numPr>
          <w:ilvl w:val="0"/>
          <w:numId w:val="3"/>
        </w:numPr>
        <w:tabs>
          <w:tab w:val="left" w:pos="3240"/>
        </w:tabs>
        <w:autoSpaceDE w:val="0"/>
        <w:autoSpaceDN w:val="0"/>
        <w:spacing w:before="240" w:after="60" w:line="360" w:lineRule="auto"/>
        <w:contextualSpacing w:val="0"/>
        <w:outlineLvl w:val="4"/>
        <w:rPr>
          <w:rFonts w:ascii="Times New Roman" w:eastAsia="Times New Roman" w:hAnsi="Times New Roman" w:cs="Times New Roman"/>
          <w:b/>
          <w:vanish/>
          <w:sz w:val="24"/>
        </w:rPr>
      </w:pPr>
    </w:p>
    <w:p w:rsidR="00A83B7B" w:rsidRPr="00C57870" w:rsidRDefault="00A83B7B" w:rsidP="00A83B7B">
      <w:pPr>
        <w:pStyle w:val="ListeParagraf"/>
        <w:keepNext/>
        <w:numPr>
          <w:ilvl w:val="0"/>
          <w:numId w:val="7"/>
        </w:numPr>
        <w:spacing w:before="120" w:after="120" w:line="360" w:lineRule="auto"/>
        <w:contextualSpacing w:val="0"/>
        <w:outlineLvl w:val="2"/>
        <w:rPr>
          <w:rFonts w:ascii="Times New Roman" w:eastAsia="Times New Roman" w:hAnsi="Times New Roman" w:cs="Arial"/>
          <w:b/>
          <w:bCs/>
          <w:vanish/>
          <w:sz w:val="24"/>
          <w:szCs w:val="16"/>
          <w:lang w:eastAsia="tr-TR"/>
        </w:rPr>
      </w:pPr>
      <w:bookmarkStart w:id="53" w:name="_Toc365038305"/>
      <w:bookmarkStart w:id="54" w:name="_Toc365040392"/>
      <w:bookmarkStart w:id="55" w:name="_Toc365383340"/>
      <w:bookmarkStart w:id="56" w:name="_Toc380746351"/>
      <w:bookmarkStart w:id="57" w:name="_Toc381623855"/>
      <w:bookmarkStart w:id="58" w:name="_Toc381624030"/>
      <w:bookmarkStart w:id="59" w:name="_Toc381624209"/>
      <w:bookmarkStart w:id="60" w:name="_Toc381629393"/>
      <w:bookmarkStart w:id="61" w:name="_Toc381865070"/>
      <w:bookmarkStart w:id="62" w:name="_Toc381865923"/>
      <w:bookmarkStart w:id="63" w:name="_Toc381967940"/>
      <w:bookmarkStart w:id="64" w:name="_Toc383597497"/>
      <w:bookmarkStart w:id="65" w:name="_Toc383613902"/>
      <w:bookmarkStart w:id="66" w:name="_Toc383613947"/>
      <w:bookmarkStart w:id="67" w:name="_Toc383683759"/>
      <w:bookmarkStart w:id="68" w:name="_Toc383697969"/>
      <w:bookmarkStart w:id="69" w:name="_Toc383709903"/>
      <w:bookmarkStart w:id="70" w:name="_Toc383768392"/>
      <w:bookmarkStart w:id="71" w:name="_Toc383777596"/>
      <w:bookmarkStart w:id="72" w:name="_Toc383778329"/>
      <w:bookmarkStart w:id="73" w:name="_Toc384116975"/>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A83B7B" w:rsidRPr="0071243E" w:rsidRDefault="00A83B7B" w:rsidP="00A83B7B">
      <w:pPr>
        <w:pStyle w:val="Balk2"/>
        <w:numPr>
          <w:ilvl w:val="0"/>
          <w:numId w:val="0"/>
        </w:numPr>
        <w:ind w:firstLine="708"/>
        <w:jc w:val="both"/>
        <w:rPr>
          <w:rFonts w:cs="Times New Roman"/>
          <w:b w:val="0"/>
          <w:bCs w:val="0"/>
          <w:color w:val="auto"/>
          <w:szCs w:val="24"/>
        </w:rPr>
      </w:pPr>
      <w:bookmarkStart w:id="74" w:name="_Toc384116976"/>
      <w:r w:rsidRPr="0071243E">
        <w:rPr>
          <w:rFonts w:cs="Times New Roman"/>
          <w:b w:val="0"/>
          <w:bCs w:val="0"/>
          <w:color w:val="auto"/>
          <w:szCs w:val="24"/>
        </w:rPr>
        <w:t>Soruşturma konusu ürün için mutlak ve nispi ithalatın, ithalatın yurt içi piyasadan aldığı payın ve ithalatın ülkelere göre dağılımının yıllar itibariyle seyri aşağıda verilmektedir. Söz konusu istatistikler, Türkiye İstatistik Kurumu tarafından sağlanan dış ticaret ist</w:t>
      </w:r>
      <w:r w:rsidR="00BF73AC">
        <w:rPr>
          <w:rFonts w:cs="Times New Roman"/>
          <w:b w:val="0"/>
          <w:bCs w:val="0"/>
          <w:color w:val="auto"/>
          <w:szCs w:val="24"/>
        </w:rPr>
        <w:t>atistikleri ile yerli üretici</w:t>
      </w:r>
      <w:r w:rsidRPr="0071243E">
        <w:rPr>
          <w:rFonts w:cs="Times New Roman"/>
          <w:b w:val="0"/>
          <w:bCs w:val="0"/>
          <w:color w:val="auto"/>
          <w:szCs w:val="24"/>
        </w:rPr>
        <w:t xml:space="preserve"> tarafından verilen bilgiler kullanılarak hesaplanmıştır. </w:t>
      </w:r>
      <w:r w:rsidR="00BF73AC">
        <w:rPr>
          <w:rFonts w:cs="Times New Roman"/>
          <w:b w:val="0"/>
          <w:bCs w:val="0"/>
          <w:color w:val="auto"/>
          <w:szCs w:val="24"/>
        </w:rPr>
        <w:t>İthalat verileri</w:t>
      </w:r>
      <w:r w:rsidR="008C799E">
        <w:rPr>
          <w:rFonts w:cs="Times New Roman"/>
          <w:b w:val="0"/>
          <w:bCs w:val="0"/>
          <w:color w:val="auto"/>
          <w:szCs w:val="24"/>
        </w:rPr>
        <w:t xml:space="preserve"> bu soruşturma için</w:t>
      </w:r>
      <w:r w:rsidR="00BF73AC">
        <w:rPr>
          <w:rFonts w:cs="Times New Roman"/>
          <w:b w:val="0"/>
          <w:bCs w:val="0"/>
          <w:color w:val="auto"/>
          <w:szCs w:val="24"/>
        </w:rPr>
        <w:t xml:space="preserve"> </w:t>
      </w:r>
      <w:r w:rsidR="00821D16">
        <w:rPr>
          <w:rFonts w:cs="Times New Roman"/>
          <w:b w:val="0"/>
          <w:bCs w:val="0"/>
          <w:color w:val="auto"/>
          <w:szCs w:val="24"/>
        </w:rPr>
        <w:t>dâhilde</w:t>
      </w:r>
      <w:r w:rsidR="00BF73AC">
        <w:rPr>
          <w:rFonts w:cs="Times New Roman"/>
          <w:b w:val="0"/>
          <w:bCs w:val="0"/>
          <w:color w:val="auto"/>
          <w:szCs w:val="24"/>
        </w:rPr>
        <w:t xml:space="preserve"> işleme rejimi </w:t>
      </w:r>
      <w:r w:rsidR="008C799E">
        <w:rPr>
          <w:rFonts w:cs="Times New Roman"/>
          <w:b w:val="0"/>
          <w:bCs w:val="0"/>
          <w:color w:val="auto"/>
          <w:szCs w:val="24"/>
        </w:rPr>
        <w:t xml:space="preserve">(DİR) </w:t>
      </w:r>
      <w:r w:rsidR="00BF73AC">
        <w:rPr>
          <w:rFonts w:cs="Times New Roman"/>
          <w:b w:val="0"/>
          <w:bCs w:val="0"/>
          <w:color w:val="auto"/>
          <w:szCs w:val="24"/>
        </w:rPr>
        <w:t>kapsamındaki ithalatı içermemektedir.</w:t>
      </w:r>
      <w:bookmarkEnd w:id="74"/>
    </w:p>
    <w:p w:rsidR="00A83B7B" w:rsidRPr="00090F18" w:rsidRDefault="00A83B7B" w:rsidP="00A83B7B">
      <w:pPr>
        <w:pStyle w:val="Balk3"/>
      </w:pPr>
      <w:bookmarkStart w:id="75" w:name="_Toc365040404"/>
      <w:bookmarkStart w:id="76" w:name="_Toc365383352"/>
      <w:bookmarkStart w:id="77" w:name="_Toc380746363"/>
      <w:bookmarkStart w:id="78" w:name="_Toc381623867"/>
      <w:bookmarkStart w:id="79" w:name="_Toc381624042"/>
      <w:bookmarkStart w:id="80" w:name="_Toc381624219"/>
      <w:bookmarkStart w:id="81" w:name="_Toc381629403"/>
      <w:bookmarkStart w:id="82" w:name="_Toc381865080"/>
      <w:bookmarkStart w:id="83" w:name="_Toc381865933"/>
      <w:bookmarkStart w:id="84" w:name="_Toc381967950"/>
      <w:bookmarkStart w:id="85" w:name="_Toc383597507"/>
      <w:bookmarkStart w:id="86" w:name="_Toc383613912"/>
      <w:bookmarkStart w:id="87" w:name="_Toc383613957"/>
      <w:bookmarkStart w:id="88" w:name="_Toc383683769"/>
      <w:bookmarkStart w:id="89" w:name="_Toc383697979"/>
      <w:bookmarkStart w:id="90" w:name="_Toc383709913"/>
      <w:bookmarkStart w:id="91" w:name="_Toc383768402"/>
      <w:bookmarkStart w:id="92" w:name="_Toc383777606"/>
      <w:bookmarkStart w:id="93" w:name="_Toc383778339"/>
      <w:bookmarkStart w:id="94" w:name="_Toc227495865"/>
      <w:bookmarkStart w:id="95" w:name="_Toc384116977"/>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090F18">
        <w:t xml:space="preserve">Mutlak </w:t>
      </w:r>
      <w:r w:rsidR="00C42474" w:rsidRPr="00090F18">
        <w:t>ithalat</w:t>
      </w:r>
      <w:bookmarkEnd w:id="94"/>
      <w:bookmarkEnd w:id="95"/>
    </w:p>
    <w:tbl>
      <w:tblPr>
        <w:tblW w:w="5003"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2376"/>
        <w:gridCol w:w="1035"/>
        <w:gridCol w:w="1177"/>
        <w:gridCol w:w="1177"/>
        <w:gridCol w:w="1177"/>
        <w:gridCol w:w="1177"/>
        <w:gridCol w:w="1175"/>
      </w:tblGrid>
      <w:tr w:rsidR="00A83B7B" w:rsidRPr="00125018" w:rsidTr="00A83B7B">
        <w:trPr>
          <w:cantSplit/>
          <w:trHeight w:val="397"/>
          <w:tblHeader/>
        </w:trPr>
        <w:tc>
          <w:tcPr>
            <w:tcW w:w="1278" w:type="pct"/>
            <w:vAlign w:val="center"/>
          </w:tcPr>
          <w:p w:rsidR="00A83B7B" w:rsidRPr="00125018" w:rsidRDefault="00265871" w:rsidP="001D3546">
            <w:pPr>
              <w:jc w:val="both"/>
            </w:pPr>
            <w:r w:rsidRPr="00125018">
              <w:t>Mutlak İthalat</w:t>
            </w:r>
          </w:p>
        </w:tc>
        <w:tc>
          <w:tcPr>
            <w:tcW w:w="557" w:type="pct"/>
            <w:vAlign w:val="center"/>
          </w:tcPr>
          <w:p w:rsidR="00A83B7B" w:rsidRPr="00125018" w:rsidRDefault="00A83B7B" w:rsidP="001D3546">
            <w:pPr>
              <w:jc w:val="center"/>
            </w:pPr>
            <w:r w:rsidRPr="00125018">
              <w:t>2008</w:t>
            </w:r>
          </w:p>
        </w:tc>
        <w:tc>
          <w:tcPr>
            <w:tcW w:w="633" w:type="pct"/>
            <w:vAlign w:val="center"/>
          </w:tcPr>
          <w:p w:rsidR="00A83B7B" w:rsidRPr="00125018" w:rsidRDefault="00A83B7B" w:rsidP="001D3546">
            <w:pPr>
              <w:jc w:val="center"/>
            </w:pPr>
            <w:r w:rsidRPr="00125018">
              <w:t>2009</w:t>
            </w:r>
          </w:p>
        </w:tc>
        <w:tc>
          <w:tcPr>
            <w:tcW w:w="633" w:type="pct"/>
            <w:vAlign w:val="center"/>
          </w:tcPr>
          <w:p w:rsidR="00A83B7B" w:rsidRPr="00125018" w:rsidRDefault="00A83B7B" w:rsidP="001D3546">
            <w:pPr>
              <w:jc w:val="center"/>
            </w:pPr>
            <w:r w:rsidRPr="00125018">
              <w:t>2010</w:t>
            </w:r>
          </w:p>
        </w:tc>
        <w:tc>
          <w:tcPr>
            <w:tcW w:w="633" w:type="pct"/>
            <w:vAlign w:val="center"/>
          </w:tcPr>
          <w:p w:rsidR="00A83B7B" w:rsidRPr="00125018" w:rsidRDefault="00A83B7B" w:rsidP="001D3546">
            <w:pPr>
              <w:jc w:val="center"/>
            </w:pPr>
            <w:r w:rsidRPr="00125018">
              <w:t>2011</w:t>
            </w:r>
          </w:p>
        </w:tc>
        <w:tc>
          <w:tcPr>
            <w:tcW w:w="633" w:type="pct"/>
            <w:vAlign w:val="center"/>
          </w:tcPr>
          <w:p w:rsidR="00A83B7B" w:rsidRPr="00125018" w:rsidRDefault="00A83B7B" w:rsidP="001D3546">
            <w:pPr>
              <w:jc w:val="center"/>
            </w:pPr>
            <w:r w:rsidRPr="00125018">
              <w:t>2012</w:t>
            </w:r>
          </w:p>
        </w:tc>
        <w:tc>
          <w:tcPr>
            <w:tcW w:w="632" w:type="pct"/>
            <w:vAlign w:val="center"/>
          </w:tcPr>
          <w:p w:rsidR="00A83B7B" w:rsidRPr="00125018" w:rsidRDefault="00A83B7B" w:rsidP="001D3546">
            <w:pPr>
              <w:jc w:val="center"/>
            </w:pPr>
            <w:r>
              <w:t>2013</w:t>
            </w:r>
          </w:p>
        </w:tc>
      </w:tr>
      <w:tr w:rsidR="00A83B7B" w:rsidRPr="00125018" w:rsidTr="00A83B7B">
        <w:trPr>
          <w:cantSplit/>
          <w:trHeight w:val="397"/>
        </w:trPr>
        <w:tc>
          <w:tcPr>
            <w:tcW w:w="1278" w:type="pct"/>
            <w:vAlign w:val="center"/>
          </w:tcPr>
          <w:p w:rsidR="00A83B7B" w:rsidRPr="00125018" w:rsidRDefault="00265871" w:rsidP="001D3546">
            <w:pPr>
              <w:jc w:val="both"/>
            </w:pPr>
            <w:r>
              <w:t>Ton</w:t>
            </w:r>
          </w:p>
        </w:tc>
        <w:tc>
          <w:tcPr>
            <w:tcW w:w="557" w:type="pct"/>
            <w:vAlign w:val="center"/>
          </w:tcPr>
          <w:p w:rsidR="00A83B7B" w:rsidRPr="00125018" w:rsidRDefault="00A83B7B" w:rsidP="001D3546">
            <w:pPr>
              <w:jc w:val="center"/>
            </w:pPr>
            <w:r w:rsidRPr="00125018">
              <w:t>143.769</w:t>
            </w:r>
          </w:p>
        </w:tc>
        <w:tc>
          <w:tcPr>
            <w:tcW w:w="633" w:type="pct"/>
            <w:vAlign w:val="center"/>
          </w:tcPr>
          <w:p w:rsidR="00A83B7B" w:rsidRPr="00125018" w:rsidRDefault="00A83B7B" w:rsidP="001D3546">
            <w:pPr>
              <w:jc w:val="center"/>
            </w:pPr>
            <w:r w:rsidRPr="00125018">
              <w:t>161.387</w:t>
            </w:r>
          </w:p>
        </w:tc>
        <w:tc>
          <w:tcPr>
            <w:tcW w:w="633" w:type="pct"/>
            <w:vAlign w:val="center"/>
          </w:tcPr>
          <w:p w:rsidR="00A83B7B" w:rsidRPr="00125018" w:rsidRDefault="00A83B7B" w:rsidP="001D3546">
            <w:pPr>
              <w:jc w:val="center"/>
            </w:pPr>
            <w:r w:rsidRPr="00125018">
              <w:t>166.752</w:t>
            </w:r>
          </w:p>
        </w:tc>
        <w:tc>
          <w:tcPr>
            <w:tcW w:w="633" w:type="pct"/>
            <w:vAlign w:val="center"/>
          </w:tcPr>
          <w:p w:rsidR="00A83B7B" w:rsidRPr="00125018" w:rsidRDefault="00A83B7B" w:rsidP="001D3546">
            <w:pPr>
              <w:jc w:val="center"/>
            </w:pPr>
            <w:r w:rsidRPr="00125018">
              <w:t>177.169</w:t>
            </w:r>
          </w:p>
        </w:tc>
        <w:tc>
          <w:tcPr>
            <w:tcW w:w="633" w:type="pct"/>
            <w:vAlign w:val="center"/>
          </w:tcPr>
          <w:p w:rsidR="00A83B7B" w:rsidRPr="00125018" w:rsidRDefault="00A83B7B" w:rsidP="001D3546">
            <w:pPr>
              <w:jc w:val="center"/>
            </w:pPr>
            <w:r w:rsidRPr="00125018">
              <w:t>231.921</w:t>
            </w:r>
          </w:p>
        </w:tc>
        <w:tc>
          <w:tcPr>
            <w:tcW w:w="632" w:type="pct"/>
            <w:vAlign w:val="center"/>
          </w:tcPr>
          <w:p w:rsidR="00A83B7B" w:rsidRPr="001129F9" w:rsidRDefault="00A83B7B" w:rsidP="001D3546">
            <w:pPr>
              <w:jc w:val="center"/>
            </w:pPr>
            <w:r w:rsidRPr="001129F9">
              <w:t>288.717</w:t>
            </w:r>
          </w:p>
        </w:tc>
      </w:tr>
      <w:tr w:rsidR="00A83B7B" w:rsidRPr="00125018" w:rsidTr="00A83B7B">
        <w:trPr>
          <w:cantSplit/>
          <w:trHeight w:val="397"/>
        </w:trPr>
        <w:tc>
          <w:tcPr>
            <w:tcW w:w="1278" w:type="pct"/>
            <w:vAlign w:val="center"/>
          </w:tcPr>
          <w:p w:rsidR="00A83B7B" w:rsidRPr="00125018" w:rsidRDefault="00A83B7B" w:rsidP="001D3546">
            <w:pPr>
              <w:jc w:val="both"/>
            </w:pPr>
            <w:r w:rsidRPr="00125018">
              <w:t>Değişim (%)</w:t>
            </w:r>
          </w:p>
        </w:tc>
        <w:tc>
          <w:tcPr>
            <w:tcW w:w="557" w:type="pct"/>
            <w:vAlign w:val="center"/>
          </w:tcPr>
          <w:p w:rsidR="00A83B7B" w:rsidRPr="00125018" w:rsidRDefault="00A83B7B" w:rsidP="001D3546">
            <w:pPr>
              <w:jc w:val="center"/>
            </w:pPr>
            <w:r>
              <w:t>-</w:t>
            </w:r>
          </w:p>
        </w:tc>
        <w:tc>
          <w:tcPr>
            <w:tcW w:w="633" w:type="pct"/>
            <w:vAlign w:val="center"/>
          </w:tcPr>
          <w:p w:rsidR="00A83B7B" w:rsidRPr="00125018" w:rsidRDefault="00A83B7B" w:rsidP="001D3546">
            <w:pPr>
              <w:jc w:val="center"/>
            </w:pPr>
            <w:r w:rsidRPr="00125018">
              <w:t>12</w:t>
            </w:r>
          </w:p>
        </w:tc>
        <w:tc>
          <w:tcPr>
            <w:tcW w:w="633" w:type="pct"/>
            <w:vAlign w:val="center"/>
          </w:tcPr>
          <w:p w:rsidR="00A83B7B" w:rsidRPr="00125018" w:rsidRDefault="00A83B7B" w:rsidP="001D3546">
            <w:pPr>
              <w:jc w:val="center"/>
            </w:pPr>
            <w:r w:rsidRPr="00125018">
              <w:t>3</w:t>
            </w:r>
          </w:p>
        </w:tc>
        <w:tc>
          <w:tcPr>
            <w:tcW w:w="633" w:type="pct"/>
            <w:vAlign w:val="center"/>
          </w:tcPr>
          <w:p w:rsidR="00A83B7B" w:rsidRPr="00125018" w:rsidRDefault="00A83B7B" w:rsidP="001D3546">
            <w:pPr>
              <w:jc w:val="center"/>
            </w:pPr>
            <w:r w:rsidRPr="00125018">
              <w:t>6</w:t>
            </w:r>
          </w:p>
        </w:tc>
        <w:tc>
          <w:tcPr>
            <w:tcW w:w="633" w:type="pct"/>
            <w:vAlign w:val="center"/>
          </w:tcPr>
          <w:p w:rsidR="00A83B7B" w:rsidRPr="00125018" w:rsidRDefault="00A83B7B" w:rsidP="001D3546">
            <w:pPr>
              <w:jc w:val="center"/>
            </w:pPr>
            <w:r w:rsidRPr="00125018">
              <w:t>31</w:t>
            </w:r>
          </w:p>
        </w:tc>
        <w:tc>
          <w:tcPr>
            <w:tcW w:w="632" w:type="pct"/>
            <w:vAlign w:val="center"/>
          </w:tcPr>
          <w:p w:rsidR="00A83B7B" w:rsidRPr="00125018" w:rsidRDefault="00A83B7B" w:rsidP="001D3546">
            <w:pPr>
              <w:jc w:val="center"/>
            </w:pPr>
            <w:r>
              <w:t>24</w:t>
            </w:r>
          </w:p>
        </w:tc>
      </w:tr>
    </w:tbl>
    <w:p w:rsidR="00A83B7B" w:rsidRDefault="00A83B7B" w:rsidP="00A83B7B">
      <w:pPr>
        <w:jc w:val="both"/>
      </w:pPr>
    </w:p>
    <w:p w:rsidR="00A83B7B" w:rsidRDefault="00A83B7B" w:rsidP="00A83B7B">
      <w:pPr>
        <w:ind w:firstLine="708"/>
        <w:jc w:val="both"/>
      </w:pPr>
      <w:r w:rsidRPr="00125018">
        <w:t xml:space="preserve">2008 yılında 144 bin ton olan soruşturma konusu ürün ithalatı, izleyen yıllarda sürekli artmıştır. İthalat 2012 yılında </w:t>
      </w:r>
      <w:r w:rsidR="008C799E">
        <w:t xml:space="preserve">bir önceki yıla göre </w:t>
      </w:r>
      <w:r w:rsidRPr="00125018">
        <w:t>%31 ora</w:t>
      </w:r>
      <w:r w:rsidR="007B153B">
        <w:t>nında artarak soruşturma dönemindeki</w:t>
      </w:r>
      <w:r w:rsidRPr="00125018">
        <w:t xml:space="preserve"> en yüksek artışı sergilemiş ve 232 bin ton seviyesine yükselmiştir. </w:t>
      </w:r>
      <w:r>
        <w:t xml:space="preserve">2013 yılında ithalattaki artış devam etmiş, %24 artan ithalat 289 bin tona ulaşmıştır. </w:t>
      </w:r>
      <w:r w:rsidRPr="00125018">
        <w:t xml:space="preserve">2012 yılında ithalat </w:t>
      </w:r>
      <w:r>
        <w:t>inceleme</w:t>
      </w:r>
      <w:r w:rsidRPr="00125018">
        <w:t xml:space="preserve"> dönemi ba</w:t>
      </w:r>
      <w:r>
        <w:t xml:space="preserve">şına göre %61 oranında artmışken, 2013 yılında inceleme dönemi başına göre 2 kat artmıştır. </w:t>
      </w:r>
      <w:r w:rsidR="00F93A9F">
        <w:t>Son ik</w:t>
      </w:r>
      <w:r w:rsidR="008C799E">
        <w:t xml:space="preserve">i yıldaki toplam ithalat artışı, 2011 yılından 2013 yılına </w:t>
      </w:r>
      <w:r>
        <w:t xml:space="preserve">%63 oranında </w:t>
      </w:r>
      <w:r w:rsidR="00F93A9F">
        <w:t>gerçekleşmiştir</w:t>
      </w:r>
      <w:r>
        <w:t>.</w:t>
      </w:r>
      <w:r w:rsidRPr="00125018">
        <w:t xml:space="preserve"> </w:t>
      </w:r>
    </w:p>
    <w:p w:rsidR="00A83B7B" w:rsidRPr="00DE5406" w:rsidRDefault="00A83B7B" w:rsidP="00A83B7B">
      <w:pPr>
        <w:pStyle w:val="Balk3"/>
      </w:pPr>
      <w:bookmarkStart w:id="96" w:name="_Toc384116978"/>
      <w:r w:rsidRPr="00DE5406">
        <w:t xml:space="preserve">Nispi </w:t>
      </w:r>
      <w:r w:rsidR="00C42474" w:rsidRPr="00DE5406">
        <w:t>ithalat</w:t>
      </w:r>
      <w:bookmarkEnd w:id="96"/>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70"/>
        <w:gridCol w:w="1036"/>
        <w:gridCol w:w="1036"/>
        <w:gridCol w:w="1037"/>
        <w:gridCol w:w="1037"/>
        <w:gridCol w:w="1037"/>
        <w:gridCol w:w="1035"/>
      </w:tblGrid>
      <w:tr w:rsidR="00A83B7B" w:rsidRPr="00DE5406" w:rsidTr="00DE5406">
        <w:trPr>
          <w:cantSplit/>
          <w:trHeight w:val="397"/>
          <w:tblHeader/>
        </w:trPr>
        <w:tc>
          <w:tcPr>
            <w:tcW w:w="1653" w:type="pct"/>
            <w:tcBorders>
              <w:top w:val="double" w:sz="4" w:space="0" w:color="auto"/>
              <w:left w:val="double" w:sz="4" w:space="0" w:color="auto"/>
              <w:bottom w:val="nil"/>
              <w:right w:val="nil"/>
            </w:tcBorders>
            <w:vAlign w:val="center"/>
          </w:tcPr>
          <w:p w:rsidR="00A83B7B" w:rsidRPr="00DE5406" w:rsidRDefault="00265871" w:rsidP="001D3546">
            <w:pPr>
              <w:jc w:val="both"/>
            </w:pPr>
            <w:r w:rsidRPr="00DE5406">
              <w:t>İthalat/Yerli Üretim</w:t>
            </w:r>
          </w:p>
        </w:tc>
        <w:tc>
          <w:tcPr>
            <w:tcW w:w="558" w:type="pct"/>
            <w:tcBorders>
              <w:top w:val="double" w:sz="4" w:space="0" w:color="auto"/>
              <w:left w:val="nil"/>
              <w:bottom w:val="nil"/>
            </w:tcBorders>
            <w:vAlign w:val="center"/>
          </w:tcPr>
          <w:p w:rsidR="00A83B7B" w:rsidRPr="00DE5406" w:rsidRDefault="00A83B7B" w:rsidP="001D3546">
            <w:pPr>
              <w:jc w:val="center"/>
            </w:pPr>
            <w:r w:rsidRPr="00DE5406">
              <w:t>2008</w:t>
            </w:r>
          </w:p>
        </w:tc>
        <w:tc>
          <w:tcPr>
            <w:tcW w:w="558" w:type="pct"/>
            <w:tcBorders>
              <w:top w:val="double" w:sz="4" w:space="0" w:color="auto"/>
              <w:bottom w:val="nil"/>
            </w:tcBorders>
            <w:vAlign w:val="center"/>
          </w:tcPr>
          <w:p w:rsidR="00A83B7B" w:rsidRPr="00DE5406" w:rsidRDefault="00A83B7B" w:rsidP="001D3546">
            <w:pPr>
              <w:jc w:val="center"/>
            </w:pPr>
            <w:r w:rsidRPr="00DE5406">
              <w:t>2009</w:t>
            </w:r>
          </w:p>
        </w:tc>
        <w:tc>
          <w:tcPr>
            <w:tcW w:w="558" w:type="pct"/>
            <w:tcBorders>
              <w:top w:val="double" w:sz="4" w:space="0" w:color="auto"/>
              <w:bottom w:val="nil"/>
            </w:tcBorders>
            <w:vAlign w:val="center"/>
          </w:tcPr>
          <w:p w:rsidR="00A83B7B" w:rsidRPr="00DE5406" w:rsidRDefault="00A83B7B" w:rsidP="001D3546">
            <w:pPr>
              <w:jc w:val="center"/>
            </w:pPr>
            <w:r w:rsidRPr="00DE5406">
              <w:t>2010</w:t>
            </w:r>
          </w:p>
        </w:tc>
        <w:tc>
          <w:tcPr>
            <w:tcW w:w="558" w:type="pct"/>
            <w:tcBorders>
              <w:top w:val="double" w:sz="4" w:space="0" w:color="auto"/>
              <w:bottom w:val="nil"/>
            </w:tcBorders>
            <w:vAlign w:val="center"/>
          </w:tcPr>
          <w:p w:rsidR="00A83B7B" w:rsidRPr="00DE5406" w:rsidRDefault="00A83B7B" w:rsidP="001D3546">
            <w:pPr>
              <w:jc w:val="center"/>
            </w:pPr>
            <w:r w:rsidRPr="00DE5406">
              <w:t>2011</w:t>
            </w:r>
          </w:p>
        </w:tc>
        <w:tc>
          <w:tcPr>
            <w:tcW w:w="558" w:type="pct"/>
            <w:tcBorders>
              <w:top w:val="double" w:sz="4" w:space="0" w:color="auto"/>
              <w:bottom w:val="nil"/>
            </w:tcBorders>
            <w:vAlign w:val="center"/>
          </w:tcPr>
          <w:p w:rsidR="00A83B7B" w:rsidRPr="00DE5406" w:rsidRDefault="00A83B7B" w:rsidP="001D3546">
            <w:pPr>
              <w:jc w:val="center"/>
            </w:pPr>
            <w:r w:rsidRPr="00DE5406">
              <w:t>2012</w:t>
            </w:r>
          </w:p>
        </w:tc>
        <w:tc>
          <w:tcPr>
            <w:tcW w:w="557" w:type="pct"/>
            <w:tcBorders>
              <w:top w:val="double" w:sz="4" w:space="0" w:color="auto"/>
              <w:bottom w:val="nil"/>
            </w:tcBorders>
            <w:vAlign w:val="center"/>
          </w:tcPr>
          <w:p w:rsidR="00A83B7B" w:rsidRPr="00DE5406" w:rsidRDefault="00A83B7B" w:rsidP="001D3546">
            <w:pPr>
              <w:jc w:val="center"/>
            </w:pPr>
            <w:r w:rsidRPr="00DE5406">
              <w:t>2013</w:t>
            </w:r>
          </w:p>
        </w:tc>
      </w:tr>
      <w:tr w:rsidR="00DE5406" w:rsidRPr="00DE5406" w:rsidTr="00DE5406">
        <w:trPr>
          <w:cantSplit/>
          <w:trHeight w:val="397"/>
        </w:trPr>
        <w:tc>
          <w:tcPr>
            <w:tcW w:w="1653" w:type="pct"/>
            <w:tcBorders>
              <w:top w:val="nil"/>
              <w:left w:val="double" w:sz="4" w:space="0" w:color="auto"/>
              <w:bottom w:val="double" w:sz="4" w:space="0" w:color="auto"/>
              <w:right w:val="nil"/>
            </w:tcBorders>
            <w:vAlign w:val="center"/>
          </w:tcPr>
          <w:p w:rsidR="00DE5406" w:rsidRPr="00DE5406" w:rsidRDefault="00DE5406" w:rsidP="001D3546">
            <w:pPr>
              <w:jc w:val="both"/>
            </w:pPr>
            <w:r w:rsidRPr="00DE5406">
              <w:t>%</w:t>
            </w:r>
          </w:p>
        </w:tc>
        <w:tc>
          <w:tcPr>
            <w:tcW w:w="558" w:type="pct"/>
            <w:tcBorders>
              <w:top w:val="nil"/>
              <w:left w:val="nil"/>
              <w:bottom w:val="double" w:sz="4" w:space="0" w:color="auto"/>
            </w:tcBorders>
            <w:vAlign w:val="center"/>
          </w:tcPr>
          <w:p w:rsidR="00DE5406" w:rsidRPr="00DE5406" w:rsidRDefault="00DE5406" w:rsidP="00DE5406">
            <w:pPr>
              <w:jc w:val="center"/>
            </w:pPr>
            <w:r w:rsidRPr="00DE5406">
              <w:t>340</w:t>
            </w:r>
          </w:p>
        </w:tc>
        <w:tc>
          <w:tcPr>
            <w:tcW w:w="558" w:type="pct"/>
            <w:tcBorders>
              <w:top w:val="nil"/>
              <w:bottom w:val="double" w:sz="4" w:space="0" w:color="auto"/>
            </w:tcBorders>
            <w:vAlign w:val="center"/>
          </w:tcPr>
          <w:p w:rsidR="00DE5406" w:rsidRPr="00DE5406" w:rsidRDefault="00DE5406" w:rsidP="00DE5406">
            <w:pPr>
              <w:jc w:val="center"/>
            </w:pPr>
            <w:r w:rsidRPr="00DE5406">
              <w:t>268</w:t>
            </w:r>
          </w:p>
        </w:tc>
        <w:tc>
          <w:tcPr>
            <w:tcW w:w="558" w:type="pct"/>
            <w:tcBorders>
              <w:top w:val="nil"/>
              <w:bottom w:val="double" w:sz="4" w:space="0" w:color="auto"/>
            </w:tcBorders>
            <w:vAlign w:val="center"/>
          </w:tcPr>
          <w:p w:rsidR="00DE5406" w:rsidRPr="00DE5406" w:rsidRDefault="00DE5406" w:rsidP="00DE5406">
            <w:pPr>
              <w:jc w:val="center"/>
            </w:pPr>
            <w:r w:rsidRPr="00DE5406">
              <w:t>226</w:t>
            </w:r>
          </w:p>
        </w:tc>
        <w:tc>
          <w:tcPr>
            <w:tcW w:w="558" w:type="pct"/>
            <w:tcBorders>
              <w:top w:val="nil"/>
              <w:bottom w:val="double" w:sz="4" w:space="0" w:color="auto"/>
            </w:tcBorders>
            <w:vAlign w:val="center"/>
          </w:tcPr>
          <w:p w:rsidR="00DE5406" w:rsidRPr="00DE5406" w:rsidRDefault="00DE5406" w:rsidP="00DE5406">
            <w:pPr>
              <w:jc w:val="center"/>
            </w:pPr>
            <w:r w:rsidRPr="00DE5406">
              <w:t>294</w:t>
            </w:r>
          </w:p>
        </w:tc>
        <w:tc>
          <w:tcPr>
            <w:tcW w:w="558" w:type="pct"/>
            <w:tcBorders>
              <w:top w:val="nil"/>
              <w:bottom w:val="double" w:sz="4" w:space="0" w:color="auto"/>
            </w:tcBorders>
            <w:vAlign w:val="center"/>
          </w:tcPr>
          <w:p w:rsidR="00DE5406" w:rsidRPr="00DE5406" w:rsidRDefault="00DE5406" w:rsidP="00DE5406">
            <w:pPr>
              <w:jc w:val="center"/>
            </w:pPr>
            <w:r w:rsidRPr="00DE5406">
              <w:t>810</w:t>
            </w:r>
          </w:p>
        </w:tc>
        <w:tc>
          <w:tcPr>
            <w:tcW w:w="557" w:type="pct"/>
            <w:tcBorders>
              <w:top w:val="nil"/>
              <w:bottom w:val="double" w:sz="4" w:space="0" w:color="auto"/>
            </w:tcBorders>
            <w:vAlign w:val="center"/>
          </w:tcPr>
          <w:p w:rsidR="00DE5406" w:rsidRPr="00DE5406" w:rsidRDefault="00DE5406" w:rsidP="00DE5406">
            <w:pPr>
              <w:jc w:val="center"/>
              <w:rPr>
                <w:rFonts w:ascii="Calibri" w:hAnsi="Calibri"/>
                <w:color w:val="000000"/>
                <w:sz w:val="22"/>
                <w:szCs w:val="22"/>
              </w:rPr>
            </w:pPr>
            <w:r w:rsidRPr="00DE5406">
              <w:t>1.027</w:t>
            </w:r>
          </w:p>
        </w:tc>
      </w:tr>
    </w:tbl>
    <w:p w:rsidR="00A83B7B" w:rsidRPr="00DE5406" w:rsidRDefault="00A83B7B" w:rsidP="00A83B7B">
      <w:pPr>
        <w:jc w:val="both"/>
      </w:pPr>
    </w:p>
    <w:p w:rsidR="00A83B7B" w:rsidRDefault="00A83B7B" w:rsidP="00A83B7B">
      <w:pPr>
        <w:ind w:firstLine="708"/>
        <w:jc w:val="both"/>
      </w:pPr>
      <w:r w:rsidRPr="00DE5406">
        <w:t xml:space="preserve">İthalat </w:t>
      </w:r>
      <w:r w:rsidR="007B153B" w:rsidRPr="00DE5406">
        <w:t xml:space="preserve">miktarı </w:t>
      </w:r>
      <w:r w:rsidRPr="00DE5406">
        <w:t>incele</w:t>
      </w:r>
      <w:r w:rsidR="007B153B" w:rsidRPr="00DE5406">
        <w:t>me dönemi boyunca yerli üretim miktarının</w:t>
      </w:r>
      <w:r w:rsidRPr="00DE5406">
        <w:t xml:space="preserve"> iki katından fazla </w:t>
      </w:r>
      <w:r w:rsidR="007B153B" w:rsidRPr="00DE5406">
        <w:t>seyretmiştir</w:t>
      </w:r>
      <w:r w:rsidRPr="00DE5406">
        <w:t xml:space="preserve">. </w:t>
      </w:r>
      <w:r w:rsidR="00821D16" w:rsidRPr="00DE5406">
        <w:t>2009-2011</w:t>
      </w:r>
      <w:r w:rsidRPr="00DE5406">
        <w:t xml:space="preserve"> yılları arasında bir miktar gerileyen ithalatın yerli üretime oranı 2012 yılında gerek artan ithalat gerekse yerli üreticinin üretiminde yaşanan düşüş ve üretim tesislerinin kapalı kalması nedeniyle </w:t>
      </w:r>
      <w:r w:rsidR="00821D16" w:rsidRPr="00DE5406">
        <w:t>temel yıl olan 2008’e göre %138 oranında artmıştır</w:t>
      </w:r>
      <w:r w:rsidRPr="00DE5406">
        <w:t xml:space="preserve">. </w:t>
      </w:r>
      <w:r w:rsidRPr="00DE5406">
        <w:lastRenderedPageBreak/>
        <w:t xml:space="preserve">2013 yılında </w:t>
      </w:r>
      <w:r w:rsidR="00821D16" w:rsidRPr="00DE5406">
        <w:t>artış devam etmiş</w:t>
      </w:r>
      <w:r w:rsidRPr="00DE5406">
        <w:t xml:space="preserve"> ve ithalat 2013 yılında </w:t>
      </w:r>
      <w:r w:rsidR="00DE5406" w:rsidRPr="00DE5406">
        <w:t>yerli üretimin 10 katına çıkmış</w:t>
      </w:r>
      <w:r w:rsidR="00821D16" w:rsidRPr="00DE5406">
        <w:t xml:space="preserve">, </w:t>
      </w:r>
      <w:r w:rsidR="00DE5406" w:rsidRPr="00DE5406">
        <w:t xml:space="preserve">ithalattın yerli üretime oranı ise </w:t>
      </w:r>
      <w:r w:rsidRPr="00DE5406">
        <w:t xml:space="preserve">inceleme dönemi başına göre </w:t>
      </w:r>
      <w:r w:rsidR="00821D16" w:rsidRPr="00DE5406">
        <w:t>%</w:t>
      </w:r>
      <w:r w:rsidRPr="00DE5406">
        <w:t>202</w:t>
      </w:r>
      <w:r w:rsidR="00821D16" w:rsidRPr="00DE5406">
        <w:t xml:space="preserve"> oranında yükselmiştir</w:t>
      </w:r>
      <w:r w:rsidRPr="00DE5406">
        <w:t>.</w:t>
      </w:r>
    </w:p>
    <w:p w:rsidR="00A83B7B" w:rsidRPr="00547576" w:rsidRDefault="00A83B7B" w:rsidP="00A83B7B">
      <w:pPr>
        <w:pStyle w:val="Balk3"/>
      </w:pPr>
      <w:bookmarkStart w:id="97" w:name="_Toc384116979"/>
      <w:r w:rsidRPr="00547576">
        <w:t xml:space="preserve">İthalatın </w:t>
      </w:r>
      <w:r w:rsidR="00C42474" w:rsidRPr="00547576">
        <w:t>piyasa payı</w:t>
      </w:r>
      <w:bookmarkEnd w:id="97"/>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71"/>
        <w:gridCol w:w="987"/>
        <w:gridCol w:w="986"/>
        <w:gridCol w:w="986"/>
        <w:gridCol w:w="986"/>
        <w:gridCol w:w="986"/>
        <w:gridCol w:w="986"/>
      </w:tblGrid>
      <w:tr w:rsidR="00A83B7B" w:rsidRPr="00125018" w:rsidTr="00A83B7B">
        <w:trPr>
          <w:cantSplit/>
          <w:trHeight w:val="397"/>
          <w:tblHeader/>
        </w:trPr>
        <w:tc>
          <w:tcPr>
            <w:tcW w:w="1814" w:type="pct"/>
            <w:tcBorders>
              <w:top w:val="double" w:sz="4" w:space="0" w:color="auto"/>
              <w:left w:val="double" w:sz="4" w:space="0" w:color="auto"/>
              <w:bottom w:val="nil"/>
              <w:right w:val="nil"/>
            </w:tcBorders>
            <w:vAlign w:val="center"/>
          </w:tcPr>
          <w:p w:rsidR="00A83B7B" w:rsidRPr="00125018" w:rsidRDefault="00265871" w:rsidP="001D3546">
            <w:pPr>
              <w:jc w:val="both"/>
            </w:pPr>
            <w:r w:rsidRPr="00125018">
              <w:t>İthalatın Piyasa Payı</w:t>
            </w:r>
          </w:p>
        </w:tc>
        <w:tc>
          <w:tcPr>
            <w:tcW w:w="531" w:type="pct"/>
            <w:tcBorders>
              <w:top w:val="double" w:sz="4" w:space="0" w:color="auto"/>
              <w:left w:val="nil"/>
              <w:bottom w:val="nil"/>
            </w:tcBorders>
            <w:vAlign w:val="center"/>
          </w:tcPr>
          <w:p w:rsidR="00A83B7B" w:rsidRPr="00125018" w:rsidRDefault="00A83B7B" w:rsidP="001D3546">
            <w:pPr>
              <w:jc w:val="center"/>
            </w:pPr>
            <w:r w:rsidRPr="00125018">
              <w:t>2008</w:t>
            </w:r>
          </w:p>
        </w:tc>
        <w:tc>
          <w:tcPr>
            <w:tcW w:w="531" w:type="pct"/>
            <w:tcBorders>
              <w:top w:val="double" w:sz="4" w:space="0" w:color="auto"/>
              <w:bottom w:val="nil"/>
            </w:tcBorders>
            <w:vAlign w:val="center"/>
          </w:tcPr>
          <w:p w:rsidR="00A83B7B" w:rsidRPr="00125018" w:rsidRDefault="00A83B7B" w:rsidP="001D3546">
            <w:pPr>
              <w:jc w:val="center"/>
            </w:pPr>
            <w:r w:rsidRPr="00125018">
              <w:t>2009</w:t>
            </w:r>
          </w:p>
        </w:tc>
        <w:tc>
          <w:tcPr>
            <w:tcW w:w="531" w:type="pct"/>
            <w:tcBorders>
              <w:top w:val="double" w:sz="4" w:space="0" w:color="auto"/>
              <w:bottom w:val="nil"/>
            </w:tcBorders>
            <w:vAlign w:val="center"/>
          </w:tcPr>
          <w:p w:rsidR="00A83B7B" w:rsidRPr="00125018" w:rsidRDefault="00A83B7B" w:rsidP="001D3546">
            <w:pPr>
              <w:jc w:val="center"/>
            </w:pPr>
            <w:r w:rsidRPr="00125018">
              <w:t>2010</w:t>
            </w:r>
          </w:p>
        </w:tc>
        <w:tc>
          <w:tcPr>
            <w:tcW w:w="531" w:type="pct"/>
            <w:tcBorders>
              <w:top w:val="double" w:sz="4" w:space="0" w:color="auto"/>
              <w:bottom w:val="nil"/>
            </w:tcBorders>
            <w:vAlign w:val="center"/>
          </w:tcPr>
          <w:p w:rsidR="00A83B7B" w:rsidRPr="00125018" w:rsidRDefault="00A83B7B" w:rsidP="001D3546">
            <w:pPr>
              <w:jc w:val="center"/>
            </w:pPr>
            <w:r w:rsidRPr="00125018">
              <w:t>2011</w:t>
            </w:r>
          </w:p>
        </w:tc>
        <w:tc>
          <w:tcPr>
            <w:tcW w:w="531" w:type="pct"/>
            <w:tcBorders>
              <w:top w:val="double" w:sz="4" w:space="0" w:color="auto"/>
              <w:bottom w:val="nil"/>
            </w:tcBorders>
            <w:vAlign w:val="center"/>
          </w:tcPr>
          <w:p w:rsidR="00A83B7B" w:rsidRPr="00125018" w:rsidRDefault="00A83B7B" w:rsidP="001D3546">
            <w:pPr>
              <w:jc w:val="center"/>
            </w:pPr>
            <w:r w:rsidRPr="00125018">
              <w:t>2012</w:t>
            </w:r>
          </w:p>
        </w:tc>
        <w:tc>
          <w:tcPr>
            <w:tcW w:w="531" w:type="pct"/>
            <w:tcBorders>
              <w:top w:val="double" w:sz="4" w:space="0" w:color="auto"/>
              <w:bottom w:val="nil"/>
            </w:tcBorders>
            <w:vAlign w:val="center"/>
          </w:tcPr>
          <w:p w:rsidR="00A83B7B" w:rsidRPr="00125018" w:rsidRDefault="00A83B7B" w:rsidP="001D3546">
            <w:pPr>
              <w:jc w:val="center"/>
            </w:pPr>
            <w:r>
              <w:t>2013</w:t>
            </w:r>
          </w:p>
        </w:tc>
      </w:tr>
      <w:tr w:rsidR="00A83B7B" w:rsidRPr="00125018" w:rsidTr="00A83B7B">
        <w:trPr>
          <w:cantSplit/>
          <w:trHeight w:val="397"/>
        </w:trPr>
        <w:tc>
          <w:tcPr>
            <w:tcW w:w="1814" w:type="pct"/>
            <w:tcBorders>
              <w:top w:val="nil"/>
              <w:left w:val="double" w:sz="4" w:space="0" w:color="auto"/>
              <w:bottom w:val="double" w:sz="4" w:space="0" w:color="auto"/>
              <w:right w:val="nil"/>
            </w:tcBorders>
            <w:vAlign w:val="center"/>
          </w:tcPr>
          <w:p w:rsidR="00A83B7B" w:rsidRPr="00125018" w:rsidRDefault="00A83B7B" w:rsidP="001D3546">
            <w:pPr>
              <w:jc w:val="both"/>
            </w:pPr>
            <w:r w:rsidRPr="00125018">
              <w:t>Endeks</w:t>
            </w:r>
          </w:p>
        </w:tc>
        <w:tc>
          <w:tcPr>
            <w:tcW w:w="531" w:type="pct"/>
            <w:tcBorders>
              <w:top w:val="nil"/>
              <w:left w:val="nil"/>
              <w:bottom w:val="double" w:sz="4" w:space="0" w:color="auto"/>
            </w:tcBorders>
            <w:vAlign w:val="center"/>
          </w:tcPr>
          <w:p w:rsidR="00A83B7B" w:rsidRPr="00125018" w:rsidRDefault="00A83B7B" w:rsidP="001D3546">
            <w:pPr>
              <w:jc w:val="center"/>
            </w:pPr>
            <w:r w:rsidRPr="00125018">
              <w:t>100</w:t>
            </w:r>
          </w:p>
        </w:tc>
        <w:tc>
          <w:tcPr>
            <w:tcW w:w="531" w:type="pct"/>
            <w:tcBorders>
              <w:top w:val="nil"/>
              <w:bottom w:val="double" w:sz="4" w:space="0" w:color="auto"/>
            </w:tcBorders>
            <w:vAlign w:val="center"/>
          </w:tcPr>
          <w:p w:rsidR="00A83B7B" w:rsidRPr="00125018" w:rsidRDefault="00A83B7B" w:rsidP="001D3546">
            <w:pPr>
              <w:jc w:val="center"/>
            </w:pPr>
            <w:r w:rsidRPr="00125018">
              <w:t>104</w:t>
            </w:r>
          </w:p>
        </w:tc>
        <w:tc>
          <w:tcPr>
            <w:tcW w:w="531" w:type="pct"/>
            <w:tcBorders>
              <w:top w:val="nil"/>
              <w:bottom w:val="double" w:sz="4" w:space="0" w:color="auto"/>
            </w:tcBorders>
            <w:vAlign w:val="center"/>
          </w:tcPr>
          <w:p w:rsidR="00A83B7B" w:rsidRPr="00125018" w:rsidRDefault="00A83B7B" w:rsidP="001D3546">
            <w:pPr>
              <w:jc w:val="center"/>
            </w:pPr>
            <w:r w:rsidRPr="00125018">
              <w:t>93</w:t>
            </w:r>
          </w:p>
        </w:tc>
        <w:tc>
          <w:tcPr>
            <w:tcW w:w="531" w:type="pct"/>
            <w:tcBorders>
              <w:top w:val="nil"/>
              <w:bottom w:val="double" w:sz="4" w:space="0" w:color="auto"/>
            </w:tcBorders>
            <w:vAlign w:val="center"/>
          </w:tcPr>
          <w:p w:rsidR="00A83B7B" w:rsidRPr="00125018" w:rsidRDefault="00A83B7B" w:rsidP="001D3546">
            <w:pPr>
              <w:jc w:val="center"/>
            </w:pPr>
            <w:r w:rsidRPr="00125018">
              <w:t>103</w:t>
            </w:r>
          </w:p>
        </w:tc>
        <w:tc>
          <w:tcPr>
            <w:tcW w:w="531" w:type="pct"/>
            <w:tcBorders>
              <w:top w:val="nil"/>
              <w:bottom w:val="double" w:sz="4" w:space="0" w:color="auto"/>
            </w:tcBorders>
            <w:vAlign w:val="center"/>
          </w:tcPr>
          <w:p w:rsidR="00A83B7B" w:rsidRPr="00125018" w:rsidRDefault="00A83B7B" w:rsidP="001D3546">
            <w:pPr>
              <w:jc w:val="center"/>
            </w:pPr>
            <w:r w:rsidRPr="00125018">
              <w:t>114</w:t>
            </w:r>
          </w:p>
        </w:tc>
        <w:tc>
          <w:tcPr>
            <w:tcW w:w="531" w:type="pct"/>
            <w:tcBorders>
              <w:top w:val="nil"/>
              <w:bottom w:val="double" w:sz="4" w:space="0" w:color="auto"/>
            </w:tcBorders>
            <w:vAlign w:val="center"/>
          </w:tcPr>
          <w:p w:rsidR="00A83B7B" w:rsidRPr="00125018" w:rsidRDefault="00A83B7B" w:rsidP="001D3546">
            <w:pPr>
              <w:jc w:val="center"/>
            </w:pPr>
            <w:r>
              <w:t>119</w:t>
            </w:r>
          </w:p>
        </w:tc>
      </w:tr>
    </w:tbl>
    <w:p w:rsidR="00A83B7B" w:rsidRDefault="00A83B7B" w:rsidP="00A83B7B">
      <w:pPr>
        <w:jc w:val="both"/>
      </w:pPr>
    </w:p>
    <w:p w:rsidR="00A83B7B" w:rsidRPr="00125018" w:rsidRDefault="00821D16" w:rsidP="00A83B7B">
      <w:pPr>
        <w:ind w:firstLine="708"/>
        <w:jc w:val="both"/>
      </w:pPr>
      <w:r>
        <w:t>İ</w:t>
      </w:r>
      <w:r w:rsidR="00A83B7B" w:rsidRPr="00125018">
        <w:t>thalatın piyasa payı</w:t>
      </w:r>
      <w:r>
        <w:t xml:space="preserve"> endeksi</w:t>
      </w:r>
      <w:r w:rsidR="00A83B7B" w:rsidRPr="00125018">
        <w:t xml:space="preserve"> 2008-2011 döneminde dalgalı bir seyir izlemiş ancak 2012 yılında önemli artış göstererek </w:t>
      </w:r>
      <w:r>
        <w:t>114 puana</w:t>
      </w:r>
      <w:r w:rsidR="00A83B7B" w:rsidRPr="00125018">
        <w:t xml:space="preserve"> çıkmıştır</w:t>
      </w:r>
      <w:r>
        <w:t>.</w:t>
      </w:r>
      <w:r w:rsidR="00A83B7B">
        <w:t xml:space="preserve"> </w:t>
      </w:r>
      <w:r>
        <w:t xml:space="preserve">2013 yılında </w:t>
      </w:r>
      <w:r w:rsidR="00A83B7B" w:rsidRPr="00125018">
        <w:t>ithal</w:t>
      </w:r>
      <w:r w:rsidR="00A83B7B">
        <w:t>atın piyasa payı</w:t>
      </w:r>
      <w:r w:rsidR="00F93A9F">
        <w:t>ndaki artış devam etmiş ve endeks</w:t>
      </w:r>
      <w:r w:rsidR="00A83B7B">
        <w:t xml:space="preserve"> </w:t>
      </w:r>
      <w:r>
        <w:t xml:space="preserve">temel yıl olan </w:t>
      </w:r>
      <w:r w:rsidRPr="00125018">
        <w:t>2008</w:t>
      </w:r>
      <w:r>
        <w:t>’e göre</w:t>
      </w:r>
      <w:r w:rsidRPr="00125018">
        <w:t xml:space="preserve"> </w:t>
      </w:r>
      <w:r>
        <w:t>%19 oranınd</w:t>
      </w:r>
      <w:r w:rsidR="00A83B7B">
        <w:t>a</w:t>
      </w:r>
      <w:r w:rsidR="00A83B7B" w:rsidRPr="00125018">
        <w:t xml:space="preserve"> yükselmiştir. </w:t>
      </w:r>
    </w:p>
    <w:p w:rsidR="00A83B7B" w:rsidRDefault="00A83B7B" w:rsidP="00A83B7B">
      <w:pPr>
        <w:pStyle w:val="Balk3"/>
      </w:pPr>
      <w:bookmarkStart w:id="98" w:name="_Toc227495869"/>
      <w:bookmarkStart w:id="99" w:name="_Toc384116980"/>
      <w:r w:rsidRPr="008A3C30">
        <w:t xml:space="preserve">Ülkeler </w:t>
      </w:r>
      <w:r w:rsidR="00C42474" w:rsidRPr="008A3C30">
        <w:t>itibariyle ithalat</w:t>
      </w:r>
      <w:bookmarkEnd w:id="98"/>
      <w:bookmarkEnd w:id="99"/>
    </w:p>
    <w:p w:rsidR="00A83B7B" w:rsidRPr="008A3C30" w:rsidRDefault="00A83B7B" w:rsidP="00A83B7B">
      <w:pPr>
        <w:ind w:firstLine="708"/>
        <w:jc w:val="both"/>
      </w:pPr>
      <w:r>
        <w:t>Aşağıdaki</w:t>
      </w:r>
      <w:r w:rsidRPr="008A3C30">
        <w:t xml:space="preserve"> tabloda Türkiye’nin </w:t>
      </w:r>
      <w:r w:rsidR="00F93A9F" w:rsidRPr="008A3C30">
        <w:t xml:space="preserve">yıllar itibariyle </w:t>
      </w:r>
      <w:r w:rsidRPr="008A3C30">
        <w:t xml:space="preserve">tereftalik asit ithalatının </w:t>
      </w:r>
      <w:r w:rsidR="00F93A9F" w:rsidRPr="008A3C30">
        <w:t xml:space="preserve">menşe ülkelere göre </w:t>
      </w:r>
      <w:r w:rsidRPr="008A3C30">
        <w:t xml:space="preserve">miktar bazında </w:t>
      </w:r>
      <w:r w:rsidR="00F63AF9">
        <w:t xml:space="preserve">oransal </w:t>
      </w:r>
      <w:r w:rsidRPr="008A3C30">
        <w:t xml:space="preserve">dağılımı yer almaktadır. </w:t>
      </w:r>
      <w:r w:rsidR="00821D16" w:rsidRPr="00821D16">
        <w:rPr>
          <w:bCs/>
        </w:rPr>
        <w:t xml:space="preserve">Ülkeler itibariyle ayrıntılı ithalat istatistikleri </w:t>
      </w:r>
      <w:r w:rsidR="00821D16">
        <w:rPr>
          <w:bCs/>
        </w:rPr>
        <w:t xml:space="preserve">ise </w:t>
      </w:r>
      <w:r w:rsidR="00821D16" w:rsidRPr="00821D16">
        <w:rPr>
          <w:bCs/>
        </w:rPr>
        <w:t xml:space="preserve">ekte </w:t>
      </w:r>
      <w:r w:rsidR="00821D16">
        <w:rPr>
          <w:bCs/>
        </w:rPr>
        <w:t>yer almaktadır</w:t>
      </w:r>
      <w:r w:rsidR="00821D16" w:rsidRPr="00821D16">
        <w:rPr>
          <w:bCs/>
        </w:rPr>
        <w:t>.</w:t>
      </w:r>
      <w:r w:rsidR="00821D16" w:rsidRPr="008A3C30">
        <w:t xml:space="preserve"> </w:t>
      </w:r>
    </w:p>
    <w:p w:rsidR="00A83B7B" w:rsidRPr="00154970" w:rsidRDefault="00A83B7B" w:rsidP="00A83B7B"/>
    <w:tbl>
      <w:tblPr>
        <w:tblW w:w="5000" w:type="pct"/>
        <w:tblBorders>
          <w:top w:val="double" w:sz="4" w:space="0" w:color="auto"/>
          <w:left w:val="double" w:sz="4" w:space="0" w:color="auto"/>
          <w:bottom w:val="double" w:sz="4" w:space="0" w:color="auto"/>
          <w:right w:val="double" w:sz="4" w:space="0" w:color="auto"/>
        </w:tblBorders>
        <w:tblCellMar>
          <w:left w:w="70" w:type="dxa"/>
          <w:right w:w="70" w:type="dxa"/>
        </w:tblCellMar>
        <w:tblLook w:val="04A0" w:firstRow="1" w:lastRow="0" w:firstColumn="1" w:lastColumn="0" w:noHBand="0" w:noVBand="1"/>
      </w:tblPr>
      <w:tblGrid>
        <w:gridCol w:w="1700"/>
        <w:gridCol w:w="1253"/>
        <w:gridCol w:w="1253"/>
        <w:gridCol w:w="1253"/>
        <w:gridCol w:w="1253"/>
        <w:gridCol w:w="1253"/>
        <w:gridCol w:w="1247"/>
      </w:tblGrid>
      <w:tr w:rsidR="00A83B7B" w:rsidTr="00A83B7B">
        <w:trPr>
          <w:cantSplit/>
          <w:trHeight w:val="397"/>
          <w:tblHeader/>
        </w:trPr>
        <w:tc>
          <w:tcPr>
            <w:tcW w:w="923" w:type="pct"/>
            <w:shd w:val="clear" w:color="auto" w:fill="auto"/>
            <w:noWrap/>
            <w:vAlign w:val="bottom"/>
          </w:tcPr>
          <w:p w:rsidR="00A83B7B" w:rsidRDefault="00A83B7B" w:rsidP="001D3546">
            <w:pPr>
              <w:rPr>
                <w:rFonts w:ascii="Calibri" w:hAnsi="Calibri"/>
                <w:color w:val="000000"/>
                <w:sz w:val="22"/>
                <w:szCs w:val="22"/>
              </w:rPr>
            </w:pPr>
          </w:p>
        </w:tc>
        <w:tc>
          <w:tcPr>
            <w:tcW w:w="680" w:type="pct"/>
            <w:shd w:val="clear" w:color="auto" w:fill="auto"/>
            <w:noWrap/>
            <w:vAlign w:val="center"/>
          </w:tcPr>
          <w:p w:rsidR="00A83B7B" w:rsidRPr="00125018" w:rsidRDefault="00A83B7B" w:rsidP="001D3546">
            <w:pPr>
              <w:jc w:val="center"/>
            </w:pPr>
            <w:r w:rsidRPr="00125018">
              <w:t>2008</w:t>
            </w:r>
          </w:p>
        </w:tc>
        <w:tc>
          <w:tcPr>
            <w:tcW w:w="680" w:type="pct"/>
            <w:shd w:val="clear" w:color="auto" w:fill="auto"/>
            <w:vAlign w:val="center"/>
          </w:tcPr>
          <w:p w:rsidR="00A83B7B" w:rsidRPr="00125018" w:rsidRDefault="00A83B7B" w:rsidP="001D3546">
            <w:pPr>
              <w:jc w:val="center"/>
            </w:pPr>
            <w:r w:rsidRPr="00125018">
              <w:t>2009</w:t>
            </w:r>
          </w:p>
        </w:tc>
        <w:tc>
          <w:tcPr>
            <w:tcW w:w="680" w:type="pct"/>
            <w:shd w:val="clear" w:color="auto" w:fill="auto"/>
            <w:vAlign w:val="center"/>
          </w:tcPr>
          <w:p w:rsidR="00A83B7B" w:rsidRPr="00125018" w:rsidRDefault="00A83B7B" w:rsidP="001D3546">
            <w:pPr>
              <w:jc w:val="center"/>
            </w:pPr>
            <w:r w:rsidRPr="00125018">
              <w:t>2010</w:t>
            </w:r>
          </w:p>
        </w:tc>
        <w:tc>
          <w:tcPr>
            <w:tcW w:w="680" w:type="pct"/>
            <w:shd w:val="clear" w:color="auto" w:fill="auto"/>
            <w:vAlign w:val="center"/>
          </w:tcPr>
          <w:p w:rsidR="00A83B7B" w:rsidRPr="00125018" w:rsidRDefault="00A83B7B" w:rsidP="001D3546">
            <w:pPr>
              <w:jc w:val="center"/>
            </w:pPr>
            <w:r w:rsidRPr="00125018">
              <w:t>2011</w:t>
            </w:r>
          </w:p>
        </w:tc>
        <w:tc>
          <w:tcPr>
            <w:tcW w:w="680" w:type="pct"/>
            <w:shd w:val="clear" w:color="auto" w:fill="auto"/>
            <w:vAlign w:val="center"/>
          </w:tcPr>
          <w:p w:rsidR="00A83B7B" w:rsidRPr="00125018" w:rsidRDefault="00A83B7B" w:rsidP="001D3546">
            <w:pPr>
              <w:jc w:val="center"/>
            </w:pPr>
            <w:r w:rsidRPr="00125018">
              <w:t>2012</w:t>
            </w:r>
          </w:p>
        </w:tc>
        <w:tc>
          <w:tcPr>
            <w:tcW w:w="677" w:type="pct"/>
            <w:shd w:val="clear" w:color="auto" w:fill="auto"/>
            <w:vAlign w:val="center"/>
          </w:tcPr>
          <w:p w:rsidR="00A83B7B" w:rsidRPr="00125018" w:rsidRDefault="00A83B7B" w:rsidP="001D3546">
            <w:pPr>
              <w:jc w:val="center"/>
            </w:pPr>
            <w:r>
              <w:t>2013</w:t>
            </w:r>
          </w:p>
        </w:tc>
      </w:tr>
      <w:tr w:rsidR="00A83B7B" w:rsidTr="00A83B7B">
        <w:trPr>
          <w:cantSplit/>
          <w:trHeight w:val="397"/>
          <w:tblHeader/>
        </w:trPr>
        <w:tc>
          <w:tcPr>
            <w:tcW w:w="923" w:type="pct"/>
            <w:shd w:val="clear" w:color="auto" w:fill="auto"/>
            <w:noWrap/>
            <w:vAlign w:val="center"/>
            <w:hideMark/>
          </w:tcPr>
          <w:p w:rsidR="00A83B7B" w:rsidRPr="002E65C6" w:rsidRDefault="00A83B7B" w:rsidP="001D3546">
            <w:pPr>
              <w:rPr>
                <w:color w:val="000000"/>
              </w:rPr>
            </w:pPr>
            <w:r w:rsidRPr="002E65C6">
              <w:rPr>
                <w:color w:val="000000"/>
              </w:rPr>
              <w:t>Ülke Adı</w:t>
            </w:r>
          </w:p>
        </w:tc>
        <w:tc>
          <w:tcPr>
            <w:tcW w:w="680" w:type="pct"/>
            <w:shd w:val="clear" w:color="auto" w:fill="auto"/>
            <w:noWrap/>
            <w:vAlign w:val="center"/>
            <w:hideMark/>
          </w:tcPr>
          <w:p w:rsidR="00A83B7B" w:rsidRPr="002E65C6" w:rsidRDefault="00A83B7B" w:rsidP="001D3546">
            <w:pPr>
              <w:jc w:val="center"/>
              <w:rPr>
                <w:color w:val="000000"/>
              </w:rPr>
            </w:pPr>
            <w:r w:rsidRPr="002E65C6">
              <w:rPr>
                <w:color w:val="000000"/>
              </w:rPr>
              <w:t>%</w:t>
            </w:r>
          </w:p>
        </w:tc>
        <w:tc>
          <w:tcPr>
            <w:tcW w:w="680" w:type="pct"/>
            <w:shd w:val="clear" w:color="auto" w:fill="auto"/>
            <w:noWrap/>
            <w:vAlign w:val="center"/>
            <w:hideMark/>
          </w:tcPr>
          <w:p w:rsidR="00A83B7B" w:rsidRPr="002E65C6" w:rsidRDefault="00A83B7B" w:rsidP="001D3546">
            <w:pPr>
              <w:jc w:val="center"/>
              <w:rPr>
                <w:color w:val="000000"/>
              </w:rPr>
            </w:pPr>
            <w:r w:rsidRPr="002E65C6">
              <w:rPr>
                <w:color w:val="000000"/>
              </w:rPr>
              <w:t>%</w:t>
            </w:r>
          </w:p>
        </w:tc>
        <w:tc>
          <w:tcPr>
            <w:tcW w:w="680" w:type="pct"/>
            <w:shd w:val="clear" w:color="auto" w:fill="auto"/>
            <w:noWrap/>
            <w:vAlign w:val="center"/>
            <w:hideMark/>
          </w:tcPr>
          <w:p w:rsidR="00A83B7B" w:rsidRPr="002E65C6" w:rsidRDefault="00A83B7B" w:rsidP="001D3546">
            <w:pPr>
              <w:jc w:val="center"/>
              <w:rPr>
                <w:color w:val="000000"/>
              </w:rPr>
            </w:pPr>
            <w:r w:rsidRPr="002E65C6">
              <w:rPr>
                <w:color w:val="000000"/>
              </w:rPr>
              <w:t>%</w:t>
            </w:r>
          </w:p>
        </w:tc>
        <w:tc>
          <w:tcPr>
            <w:tcW w:w="680" w:type="pct"/>
            <w:shd w:val="clear" w:color="auto" w:fill="auto"/>
            <w:noWrap/>
            <w:vAlign w:val="center"/>
            <w:hideMark/>
          </w:tcPr>
          <w:p w:rsidR="00A83B7B" w:rsidRPr="002E65C6" w:rsidRDefault="00A83B7B" w:rsidP="001D3546">
            <w:pPr>
              <w:jc w:val="center"/>
              <w:rPr>
                <w:color w:val="000000"/>
              </w:rPr>
            </w:pPr>
            <w:r w:rsidRPr="002E65C6">
              <w:rPr>
                <w:color w:val="000000"/>
              </w:rPr>
              <w:t>%</w:t>
            </w:r>
          </w:p>
        </w:tc>
        <w:tc>
          <w:tcPr>
            <w:tcW w:w="680" w:type="pct"/>
            <w:shd w:val="clear" w:color="auto" w:fill="auto"/>
            <w:noWrap/>
            <w:vAlign w:val="center"/>
            <w:hideMark/>
          </w:tcPr>
          <w:p w:rsidR="00A83B7B" w:rsidRPr="002E65C6" w:rsidRDefault="00A83B7B" w:rsidP="001D3546">
            <w:pPr>
              <w:jc w:val="center"/>
              <w:rPr>
                <w:color w:val="000000"/>
              </w:rPr>
            </w:pPr>
            <w:r w:rsidRPr="002E65C6">
              <w:rPr>
                <w:color w:val="000000"/>
              </w:rPr>
              <w:t>%</w:t>
            </w:r>
          </w:p>
        </w:tc>
        <w:tc>
          <w:tcPr>
            <w:tcW w:w="677" w:type="pct"/>
            <w:shd w:val="clear" w:color="auto" w:fill="auto"/>
            <w:noWrap/>
            <w:vAlign w:val="center"/>
            <w:hideMark/>
          </w:tcPr>
          <w:p w:rsidR="00A83B7B" w:rsidRPr="002E65C6" w:rsidRDefault="00A83B7B" w:rsidP="001D3546">
            <w:pPr>
              <w:jc w:val="center"/>
              <w:rPr>
                <w:color w:val="000000"/>
              </w:rPr>
            </w:pPr>
            <w:r w:rsidRPr="002E65C6">
              <w:rPr>
                <w:color w:val="000000"/>
              </w:rPr>
              <w:t>%</w:t>
            </w:r>
          </w:p>
        </w:tc>
      </w:tr>
      <w:tr w:rsidR="00A83B7B" w:rsidTr="00A83B7B">
        <w:trPr>
          <w:cantSplit/>
          <w:trHeight w:val="397"/>
        </w:trPr>
        <w:tc>
          <w:tcPr>
            <w:tcW w:w="923" w:type="pct"/>
            <w:shd w:val="clear" w:color="auto" w:fill="auto"/>
            <w:noWrap/>
            <w:vAlign w:val="center"/>
            <w:hideMark/>
          </w:tcPr>
          <w:p w:rsidR="00A83B7B" w:rsidRPr="00C700C8" w:rsidRDefault="00A83B7B" w:rsidP="001D3546">
            <w:pPr>
              <w:rPr>
                <w:color w:val="000000"/>
              </w:rPr>
            </w:pPr>
            <w:r w:rsidRPr="00C700C8">
              <w:rPr>
                <w:color w:val="000000"/>
              </w:rPr>
              <w:t>İspanya</w:t>
            </w:r>
          </w:p>
        </w:tc>
        <w:tc>
          <w:tcPr>
            <w:tcW w:w="680" w:type="pct"/>
            <w:shd w:val="clear" w:color="auto" w:fill="auto"/>
            <w:noWrap/>
            <w:vAlign w:val="center"/>
            <w:hideMark/>
          </w:tcPr>
          <w:p w:rsidR="00A83B7B" w:rsidRPr="002E65C6" w:rsidRDefault="00A83B7B" w:rsidP="001D3546">
            <w:pPr>
              <w:jc w:val="center"/>
              <w:rPr>
                <w:color w:val="000000"/>
              </w:rPr>
            </w:pPr>
            <w:r w:rsidRPr="002E65C6">
              <w:rPr>
                <w:color w:val="000000"/>
              </w:rPr>
              <w:t>34</w:t>
            </w:r>
          </w:p>
        </w:tc>
        <w:tc>
          <w:tcPr>
            <w:tcW w:w="680" w:type="pct"/>
            <w:shd w:val="clear" w:color="auto" w:fill="auto"/>
            <w:noWrap/>
            <w:vAlign w:val="center"/>
            <w:hideMark/>
          </w:tcPr>
          <w:p w:rsidR="00A83B7B" w:rsidRPr="002E65C6" w:rsidRDefault="00A83B7B" w:rsidP="001D3546">
            <w:pPr>
              <w:jc w:val="center"/>
              <w:rPr>
                <w:color w:val="000000"/>
              </w:rPr>
            </w:pPr>
            <w:r w:rsidRPr="002E65C6">
              <w:rPr>
                <w:color w:val="000000"/>
              </w:rPr>
              <w:t>34</w:t>
            </w:r>
          </w:p>
        </w:tc>
        <w:tc>
          <w:tcPr>
            <w:tcW w:w="680" w:type="pct"/>
            <w:shd w:val="clear" w:color="auto" w:fill="auto"/>
            <w:noWrap/>
            <w:vAlign w:val="center"/>
            <w:hideMark/>
          </w:tcPr>
          <w:p w:rsidR="00A83B7B" w:rsidRPr="002E65C6" w:rsidRDefault="00A83B7B" w:rsidP="001D3546">
            <w:pPr>
              <w:jc w:val="center"/>
              <w:rPr>
                <w:color w:val="000000"/>
              </w:rPr>
            </w:pPr>
            <w:r w:rsidRPr="002E65C6">
              <w:rPr>
                <w:color w:val="000000"/>
              </w:rPr>
              <w:t>37</w:t>
            </w:r>
          </w:p>
        </w:tc>
        <w:tc>
          <w:tcPr>
            <w:tcW w:w="680" w:type="pct"/>
            <w:shd w:val="clear" w:color="auto" w:fill="auto"/>
            <w:noWrap/>
            <w:vAlign w:val="center"/>
            <w:hideMark/>
          </w:tcPr>
          <w:p w:rsidR="00A83B7B" w:rsidRPr="002E65C6" w:rsidRDefault="00A83B7B" w:rsidP="001D3546">
            <w:pPr>
              <w:jc w:val="center"/>
              <w:rPr>
                <w:color w:val="000000"/>
              </w:rPr>
            </w:pPr>
            <w:r w:rsidRPr="002E65C6">
              <w:rPr>
                <w:color w:val="000000"/>
              </w:rPr>
              <w:t>39</w:t>
            </w:r>
          </w:p>
        </w:tc>
        <w:tc>
          <w:tcPr>
            <w:tcW w:w="680" w:type="pct"/>
            <w:shd w:val="clear" w:color="auto" w:fill="auto"/>
            <w:noWrap/>
            <w:vAlign w:val="center"/>
            <w:hideMark/>
          </w:tcPr>
          <w:p w:rsidR="00A83B7B" w:rsidRPr="002E65C6" w:rsidRDefault="00A83B7B" w:rsidP="001D3546">
            <w:pPr>
              <w:jc w:val="center"/>
              <w:rPr>
                <w:color w:val="000000"/>
              </w:rPr>
            </w:pPr>
            <w:r w:rsidRPr="002E65C6">
              <w:rPr>
                <w:color w:val="000000"/>
              </w:rPr>
              <w:t>24</w:t>
            </w:r>
          </w:p>
        </w:tc>
        <w:tc>
          <w:tcPr>
            <w:tcW w:w="677" w:type="pct"/>
            <w:shd w:val="clear" w:color="auto" w:fill="auto"/>
            <w:noWrap/>
            <w:vAlign w:val="center"/>
            <w:hideMark/>
          </w:tcPr>
          <w:p w:rsidR="00A83B7B" w:rsidRPr="002E65C6" w:rsidRDefault="00A83B7B" w:rsidP="001D3546">
            <w:pPr>
              <w:jc w:val="center"/>
              <w:rPr>
                <w:color w:val="000000"/>
              </w:rPr>
            </w:pPr>
            <w:r w:rsidRPr="002E65C6">
              <w:rPr>
                <w:color w:val="000000"/>
              </w:rPr>
              <w:t>22</w:t>
            </w:r>
          </w:p>
        </w:tc>
      </w:tr>
      <w:tr w:rsidR="00A83B7B" w:rsidTr="00A83B7B">
        <w:trPr>
          <w:cantSplit/>
          <w:trHeight w:val="397"/>
        </w:trPr>
        <w:tc>
          <w:tcPr>
            <w:tcW w:w="923" w:type="pct"/>
            <w:shd w:val="clear" w:color="auto" w:fill="auto"/>
            <w:noWrap/>
            <w:vAlign w:val="center"/>
            <w:hideMark/>
          </w:tcPr>
          <w:p w:rsidR="00A83B7B" w:rsidRPr="00C700C8" w:rsidRDefault="00A83B7B" w:rsidP="001D3546">
            <w:pPr>
              <w:rPr>
                <w:color w:val="000000"/>
              </w:rPr>
            </w:pPr>
            <w:r w:rsidRPr="00C700C8">
              <w:rPr>
                <w:color w:val="000000"/>
              </w:rPr>
              <w:t>Belçika</w:t>
            </w:r>
          </w:p>
        </w:tc>
        <w:tc>
          <w:tcPr>
            <w:tcW w:w="680" w:type="pct"/>
            <w:shd w:val="clear" w:color="auto" w:fill="auto"/>
            <w:noWrap/>
            <w:vAlign w:val="center"/>
            <w:hideMark/>
          </w:tcPr>
          <w:p w:rsidR="00A83B7B" w:rsidRPr="002E65C6" w:rsidRDefault="00A83B7B" w:rsidP="001D3546">
            <w:pPr>
              <w:jc w:val="center"/>
              <w:rPr>
                <w:color w:val="000000"/>
              </w:rPr>
            </w:pPr>
            <w:r w:rsidRPr="002E65C6">
              <w:rPr>
                <w:color w:val="000000"/>
              </w:rPr>
              <w:t>9</w:t>
            </w:r>
          </w:p>
        </w:tc>
        <w:tc>
          <w:tcPr>
            <w:tcW w:w="680" w:type="pct"/>
            <w:shd w:val="clear" w:color="auto" w:fill="auto"/>
            <w:noWrap/>
            <w:vAlign w:val="center"/>
            <w:hideMark/>
          </w:tcPr>
          <w:p w:rsidR="00A83B7B" w:rsidRPr="002E65C6" w:rsidRDefault="00A83B7B" w:rsidP="001D3546">
            <w:pPr>
              <w:jc w:val="center"/>
              <w:rPr>
                <w:color w:val="000000"/>
              </w:rPr>
            </w:pPr>
            <w:r w:rsidRPr="002E65C6">
              <w:rPr>
                <w:color w:val="000000"/>
              </w:rPr>
              <w:t>30</w:t>
            </w:r>
          </w:p>
        </w:tc>
        <w:tc>
          <w:tcPr>
            <w:tcW w:w="680" w:type="pct"/>
            <w:shd w:val="clear" w:color="auto" w:fill="auto"/>
            <w:noWrap/>
            <w:vAlign w:val="center"/>
            <w:hideMark/>
          </w:tcPr>
          <w:p w:rsidR="00A83B7B" w:rsidRPr="002E65C6" w:rsidRDefault="00A83B7B" w:rsidP="001D3546">
            <w:pPr>
              <w:jc w:val="center"/>
              <w:rPr>
                <w:color w:val="000000"/>
              </w:rPr>
            </w:pPr>
            <w:r w:rsidRPr="002E65C6">
              <w:rPr>
                <w:color w:val="000000"/>
              </w:rPr>
              <w:t>37</w:t>
            </w:r>
          </w:p>
        </w:tc>
        <w:tc>
          <w:tcPr>
            <w:tcW w:w="680" w:type="pct"/>
            <w:shd w:val="clear" w:color="auto" w:fill="auto"/>
            <w:noWrap/>
            <w:vAlign w:val="center"/>
            <w:hideMark/>
          </w:tcPr>
          <w:p w:rsidR="00A83B7B" w:rsidRPr="002E65C6" w:rsidRDefault="00A83B7B" w:rsidP="001D3546">
            <w:pPr>
              <w:jc w:val="center"/>
              <w:rPr>
                <w:color w:val="000000"/>
              </w:rPr>
            </w:pPr>
            <w:r w:rsidRPr="002E65C6">
              <w:rPr>
                <w:color w:val="000000"/>
              </w:rPr>
              <w:t>33</w:t>
            </w:r>
          </w:p>
        </w:tc>
        <w:tc>
          <w:tcPr>
            <w:tcW w:w="680" w:type="pct"/>
            <w:shd w:val="clear" w:color="auto" w:fill="auto"/>
            <w:noWrap/>
            <w:vAlign w:val="center"/>
            <w:hideMark/>
          </w:tcPr>
          <w:p w:rsidR="00A83B7B" w:rsidRPr="002E65C6" w:rsidRDefault="00A83B7B" w:rsidP="001D3546">
            <w:pPr>
              <w:jc w:val="center"/>
              <w:rPr>
                <w:color w:val="000000"/>
              </w:rPr>
            </w:pPr>
            <w:r w:rsidRPr="002E65C6">
              <w:rPr>
                <w:color w:val="000000"/>
              </w:rPr>
              <w:t>27</w:t>
            </w:r>
          </w:p>
        </w:tc>
        <w:tc>
          <w:tcPr>
            <w:tcW w:w="677" w:type="pct"/>
            <w:shd w:val="clear" w:color="auto" w:fill="auto"/>
            <w:noWrap/>
            <w:vAlign w:val="center"/>
            <w:hideMark/>
          </w:tcPr>
          <w:p w:rsidR="00A83B7B" w:rsidRPr="002E65C6" w:rsidRDefault="00A83B7B" w:rsidP="001D3546">
            <w:pPr>
              <w:jc w:val="center"/>
              <w:rPr>
                <w:color w:val="000000"/>
              </w:rPr>
            </w:pPr>
            <w:r w:rsidRPr="002E65C6">
              <w:rPr>
                <w:color w:val="000000"/>
              </w:rPr>
              <w:t>21</w:t>
            </w:r>
          </w:p>
        </w:tc>
      </w:tr>
      <w:tr w:rsidR="00A83B7B" w:rsidTr="00A83B7B">
        <w:trPr>
          <w:cantSplit/>
          <w:trHeight w:val="397"/>
        </w:trPr>
        <w:tc>
          <w:tcPr>
            <w:tcW w:w="923" w:type="pct"/>
            <w:shd w:val="clear" w:color="auto" w:fill="auto"/>
            <w:noWrap/>
            <w:vAlign w:val="center"/>
            <w:hideMark/>
          </w:tcPr>
          <w:p w:rsidR="00A83B7B" w:rsidRPr="00C700C8" w:rsidRDefault="00A83B7B" w:rsidP="001D3546">
            <w:pPr>
              <w:rPr>
                <w:color w:val="000000"/>
              </w:rPr>
            </w:pPr>
            <w:r w:rsidRPr="00C700C8">
              <w:rPr>
                <w:color w:val="000000"/>
              </w:rPr>
              <w:t>Güney Kore</w:t>
            </w:r>
          </w:p>
        </w:tc>
        <w:tc>
          <w:tcPr>
            <w:tcW w:w="680" w:type="pct"/>
            <w:shd w:val="clear" w:color="auto" w:fill="auto"/>
            <w:noWrap/>
            <w:vAlign w:val="center"/>
            <w:hideMark/>
          </w:tcPr>
          <w:p w:rsidR="00A83B7B" w:rsidRPr="002E65C6" w:rsidRDefault="00A83B7B" w:rsidP="001D3546">
            <w:pPr>
              <w:jc w:val="center"/>
              <w:rPr>
                <w:color w:val="000000"/>
              </w:rPr>
            </w:pPr>
            <w:r w:rsidRPr="002E65C6">
              <w:rPr>
                <w:color w:val="000000"/>
              </w:rPr>
              <w:t>4</w:t>
            </w:r>
          </w:p>
        </w:tc>
        <w:tc>
          <w:tcPr>
            <w:tcW w:w="680" w:type="pct"/>
            <w:shd w:val="clear" w:color="auto" w:fill="auto"/>
            <w:noWrap/>
            <w:vAlign w:val="center"/>
            <w:hideMark/>
          </w:tcPr>
          <w:p w:rsidR="00A83B7B" w:rsidRPr="002E65C6" w:rsidRDefault="00A83B7B" w:rsidP="001D3546">
            <w:pPr>
              <w:jc w:val="center"/>
              <w:rPr>
                <w:color w:val="000000"/>
              </w:rPr>
            </w:pPr>
            <w:r w:rsidRPr="002E65C6">
              <w:rPr>
                <w:color w:val="000000"/>
              </w:rPr>
              <w:t>9</w:t>
            </w:r>
          </w:p>
        </w:tc>
        <w:tc>
          <w:tcPr>
            <w:tcW w:w="680" w:type="pct"/>
            <w:shd w:val="clear" w:color="auto" w:fill="auto"/>
            <w:noWrap/>
            <w:vAlign w:val="center"/>
            <w:hideMark/>
          </w:tcPr>
          <w:p w:rsidR="00A83B7B" w:rsidRPr="002E65C6" w:rsidRDefault="00A83B7B" w:rsidP="001D3546">
            <w:pPr>
              <w:jc w:val="center"/>
              <w:rPr>
                <w:color w:val="000000"/>
              </w:rPr>
            </w:pPr>
            <w:r w:rsidRPr="002E65C6">
              <w:rPr>
                <w:color w:val="000000"/>
              </w:rPr>
              <w:t>3</w:t>
            </w:r>
          </w:p>
        </w:tc>
        <w:tc>
          <w:tcPr>
            <w:tcW w:w="680" w:type="pct"/>
            <w:shd w:val="clear" w:color="auto" w:fill="auto"/>
            <w:noWrap/>
            <w:vAlign w:val="center"/>
            <w:hideMark/>
          </w:tcPr>
          <w:p w:rsidR="00A83B7B" w:rsidRPr="002E65C6" w:rsidRDefault="00A83B7B" w:rsidP="001D3546">
            <w:pPr>
              <w:jc w:val="center"/>
              <w:rPr>
                <w:color w:val="000000"/>
              </w:rPr>
            </w:pPr>
            <w:r w:rsidRPr="002E65C6">
              <w:rPr>
                <w:color w:val="000000"/>
              </w:rPr>
              <w:t>3</w:t>
            </w:r>
          </w:p>
        </w:tc>
        <w:tc>
          <w:tcPr>
            <w:tcW w:w="680" w:type="pct"/>
            <w:shd w:val="clear" w:color="auto" w:fill="auto"/>
            <w:noWrap/>
            <w:vAlign w:val="center"/>
            <w:hideMark/>
          </w:tcPr>
          <w:p w:rsidR="00A83B7B" w:rsidRPr="002E65C6" w:rsidRDefault="00A83B7B" w:rsidP="001D3546">
            <w:pPr>
              <w:jc w:val="center"/>
              <w:rPr>
                <w:color w:val="000000"/>
              </w:rPr>
            </w:pPr>
            <w:r w:rsidRPr="002E65C6">
              <w:rPr>
                <w:color w:val="000000"/>
              </w:rPr>
              <w:t>1</w:t>
            </w:r>
          </w:p>
        </w:tc>
        <w:tc>
          <w:tcPr>
            <w:tcW w:w="677" w:type="pct"/>
            <w:shd w:val="clear" w:color="auto" w:fill="auto"/>
            <w:noWrap/>
            <w:vAlign w:val="center"/>
            <w:hideMark/>
          </w:tcPr>
          <w:p w:rsidR="00A83B7B" w:rsidRPr="002E65C6" w:rsidRDefault="00A83B7B" w:rsidP="001D3546">
            <w:pPr>
              <w:jc w:val="center"/>
              <w:rPr>
                <w:color w:val="000000"/>
              </w:rPr>
            </w:pPr>
            <w:r w:rsidRPr="002E65C6">
              <w:rPr>
                <w:color w:val="000000"/>
              </w:rPr>
              <w:t>19</w:t>
            </w:r>
          </w:p>
        </w:tc>
      </w:tr>
      <w:tr w:rsidR="00A83B7B" w:rsidTr="00A83B7B">
        <w:trPr>
          <w:cantSplit/>
          <w:trHeight w:val="397"/>
        </w:trPr>
        <w:tc>
          <w:tcPr>
            <w:tcW w:w="923" w:type="pct"/>
            <w:shd w:val="clear" w:color="auto" w:fill="auto"/>
            <w:noWrap/>
            <w:vAlign w:val="center"/>
            <w:hideMark/>
          </w:tcPr>
          <w:p w:rsidR="00A83B7B" w:rsidRPr="00C700C8" w:rsidRDefault="00A83B7B" w:rsidP="001D3546">
            <w:pPr>
              <w:rPr>
                <w:color w:val="000000"/>
              </w:rPr>
            </w:pPr>
            <w:r w:rsidRPr="00C700C8">
              <w:rPr>
                <w:color w:val="000000"/>
              </w:rPr>
              <w:t>Portekiz</w:t>
            </w:r>
          </w:p>
        </w:tc>
        <w:tc>
          <w:tcPr>
            <w:tcW w:w="680" w:type="pct"/>
            <w:shd w:val="clear" w:color="auto" w:fill="auto"/>
            <w:noWrap/>
            <w:vAlign w:val="center"/>
            <w:hideMark/>
          </w:tcPr>
          <w:p w:rsidR="00A83B7B" w:rsidRPr="002E65C6" w:rsidRDefault="00A83B7B" w:rsidP="001D3546">
            <w:pPr>
              <w:jc w:val="center"/>
              <w:rPr>
                <w:color w:val="000000"/>
              </w:rPr>
            </w:pPr>
            <w:r w:rsidRPr="002E65C6">
              <w:rPr>
                <w:color w:val="000000"/>
              </w:rPr>
              <w:t>0</w:t>
            </w:r>
          </w:p>
        </w:tc>
        <w:tc>
          <w:tcPr>
            <w:tcW w:w="680" w:type="pct"/>
            <w:shd w:val="clear" w:color="auto" w:fill="auto"/>
            <w:noWrap/>
            <w:vAlign w:val="center"/>
            <w:hideMark/>
          </w:tcPr>
          <w:p w:rsidR="00A83B7B" w:rsidRPr="002E65C6" w:rsidRDefault="00A83B7B" w:rsidP="001D3546">
            <w:pPr>
              <w:jc w:val="center"/>
              <w:rPr>
                <w:color w:val="000000"/>
              </w:rPr>
            </w:pPr>
            <w:r w:rsidRPr="002E65C6">
              <w:rPr>
                <w:color w:val="000000"/>
              </w:rPr>
              <w:t>0</w:t>
            </w:r>
          </w:p>
        </w:tc>
        <w:tc>
          <w:tcPr>
            <w:tcW w:w="680" w:type="pct"/>
            <w:shd w:val="clear" w:color="auto" w:fill="auto"/>
            <w:noWrap/>
            <w:vAlign w:val="center"/>
            <w:hideMark/>
          </w:tcPr>
          <w:p w:rsidR="00A83B7B" w:rsidRPr="002E65C6" w:rsidRDefault="00A83B7B" w:rsidP="001D3546">
            <w:pPr>
              <w:jc w:val="center"/>
              <w:rPr>
                <w:color w:val="000000"/>
              </w:rPr>
            </w:pPr>
            <w:r w:rsidRPr="002E65C6">
              <w:rPr>
                <w:color w:val="000000"/>
              </w:rPr>
              <w:t>0</w:t>
            </w:r>
          </w:p>
        </w:tc>
        <w:tc>
          <w:tcPr>
            <w:tcW w:w="680" w:type="pct"/>
            <w:shd w:val="clear" w:color="auto" w:fill="auto"/>
            <w:noWrap/>
            <w:vAlign w:val="center"/>
            <w:hideMark/>
          </w:tcPr>
          <w:p w:rsidR="00A83B7B" w:rsidRPr="002E65C6" w:rsidRDefault="00A83B7B" w:rsidP="001D3546">
            <w:pPr>
              <w:jc w:val="center"/>
              <w:rPr>
                <w:color w:val="000000"/>
              </w:rPr>
            </w:pPr>
            <w:r w:rsidRPr="002E65C6">
              <w:rPr>
                <w:color w:val="000000"/>
              </w:rPr>
              <w:t>0</w:t>
            </w:r>
          </w:p>
        </w:tc>
        <w:tc>
          <w:tcPr>
            <w:tcW w:w="680" w:type="pct"/>
            <w:shd w:val="clear" w:color="auto" w:fill="auto"/>
            <w:noWrap/>
            <w:vAlign w:val="center"/>
            <w:hideMark/>
          </w:tcPr>
          <w:p w:rsidR="00A83B7B" w:rsidRPr="002E65C6" w:rsidRDefault="00A83B7B" w:rsidP="001D3546">
            <w:pPr>
              <w:jc w:val="center"/>
              <w:rPr>
                <w:color w:val="000000"/>
              </w:rPr>
            </w:pPr>
            <w:r w:rsidRPr="002E65C6">
              <w:rPr>
                <w:color w:val="000000"/>
              </w:rPr>
              <w:t>16</w:t>
            </w:r>
          </w:p>
        </w:tc>
        <w:tc>
          <w:tcPr>
            <w:tcW w:w="677" w:type="pct"/>
            <w:shd w:val="clear" w:color="auto" w:fill="auto"/>
            <w:noWrap/>
            <w:vAlign w:val="center"/>
            <w:hideMark/>
          </w:tcPr>
          <w:p w:rsidR="00A83B7B" w:rsidRPr="002E65C6" w:rsidRDefault="00A83B7B" w:rsidP="001D3546">
            <w:pPr>
              <w:jc w:val="center"/>
              <w:rPr>
                <w:color w:val="000000"/>
              </w:rPr>
            </w:pPr>
            <w:r w:rsidRPr="002E65C6">
              <w:rPr>
                <w:color w:val="000000"/>
              </w:rPr>
              <w:t>17</w:t>
            </w:r>
          </w:p>
        </w:tc>
      </w:tr>
      <w:tr w:rsidR="00A83B7B" w:rsidTr="00A83B7B">
        <w:trPr>
          <w:cantSplit/>
          <w:trHeight w:val="397"/>
        </w:trPr>
        <w:tc>
          <w:tcPr>
            <w:tcW w:w="923" w:type="pct"/>
            <w:shd w:val="clear" w:color="auto" w:fill="auto"/>
            <w:noWrap/>
            <w:vAlign w:val="center"/>
            <w:hideMark/>
          </w:tcPr>
          <w:p w:rsidR="00A83B7B" w:rsidRPr="00C700C8" w:rsidRDefault="00A83B7B" w:rsidP="001D3546">
            <w:pPr>
              <w:rPr>
                <w:color w:val="000000"/>
              </w:rPr>
            </w:pPr>
            <w:r w:rsidRPr="00C700C8">
              <w:rPr>
                <w:color w:val="000000"/>
              </w:rPr>
              <w:t>Polonya</w:t>
            </w:r>
          </w:p>
        </w:tc>
        <w:tc>
          <w:tcPr>
            <w:tcW w:w="680" w:type="pct"/>
            <w:shd w:val="clear" w:color="auto" w:fill="auto"/>
            <w:noWrap/>
            <w:vAlign w:val="center"/>
            <w:hideMark/>
          </w:tcPr>
          <w:p w:rsidR="00A83B7B" w:rsidRPr="002E65C6" w:rsidRDefault="00A83B7B" w:rsidP="001D3546">
            <w:pPr>
              <w:jc w:val="center"/>
              <w:rPr>
                <w:color w:val="000000"/>
              </w:rPr>
            </w:pPr>
            <w:r w:rsidRPr="002E65C6">
              <w:rPr>
                <w:color w:val="000000"/>
              </w:rPr>
              <w:t>0</w:t>
            </w:r>
          </w:p>
        </w:tc>
        <w:tc>
          <w:tcPr>
            <w:tcW w:w="680" w:type="pct"/>
            <w:shd w:val="clear" w:color="auto" w:fill="auto"/>
            <w:noWrap/>
            <w:vAlign w:val="center"/>
            <w:hideMark/>
          </w:tcPr>
          <w:p w:rsidR="00A83B7B" w:rsidRPr="002E65C6" w:rsidRDefault="00A83B7B" w:rsidP="001D3546">
            <w:pPr>
              <w:jc w:val="center"/>
              <w:rPr>
                <w:color w:val="000000"/>
              </w:rPr>
            </w:pPr>
            <w:r w:rsidRPr="002E65C6">
              <w:rPr>
                <w:color w:val="000000"/>
              </w:rPr>
              <w:t>0</w:t>
            </w:r>
          </w:p>
        </w:tc>
        <w:tc>
          <w:tcPr>
            <w:tcW w:w="680" w:type="pct"/>
            <w:shd w:val="clear" w:color="auto" w:fill="auto"/>
            <w:noWrap/>
            <w:vAlign w:val="center"/>
            <w:hideMark/>
          </w:tcPr>
          <w:p w:rsidR="00A83B7B" w:rsidRPr="002E65C6" w:rsidRDefault="00A83B7B" w:rsidP="001D3546">
            <w:pPr>
              <w:jc w:val="center"/>
              <w:rPr>
                <w:color w:val="000000"/>
              </w:rPr>
            </w:pPr>
            <w:r w:rsidRPr="002E65C6">
              <w:rPr>
                <w:color w:val="000000"/>
              </w:rPr>
              <w:t>0</w:t>
            </w:r>
          </w:p>
        </w:tc>
        <w:tc>
          <w:tcPr>
            <w:tcW w:w="680" w:type="pct"/>
            <w:shd w:val="clear" w:color="auto" w:fill="auto"/>
            <w:noWrap/>
            <w:vAlign w:val="center"/>
            <w:hideMark/>
          </w:tcPr>
          <w:p w:rsidR="00A83B7B" w:rsidRPr="002E65C6" w:rsidRDefault="00A83B7B" w:rsidP="001D3546">
            <w:pPr>
              <w:jc w:val="center"/>
              <w:rPr>
                <w:color w:val="000000"/>
              </w:rPr>
            </w:pPr>
            <w:r w:rsidRPr="002E65C6">
              <w:rPr>
                <w:color w:val="000000"/>
              </w:rPr>
              <w:t>13</w:t>
            </w:r>
          </w:p>
        </w:tc>
        <w:tc>
          <w:tcPr>
            <w:tcW w:w="680" w:type="pct"/>
            <w:shd w:val="clear" w:color="auto" w:fill="auto"/>
            <w:noWrap/>
            <w:vAlign w:val="center"/>
            <w:hideMark/>
          </w:tcPr>
          <w:p w:rsidR="00A83B7B" w:rsidRPr="002E65C6" w:rsidRDefault="00A83B7B" w:rsidP="001D3546">
            <w:pPr>
              <w:jc w:val="center"/>
              <w:rPr>
                <w:color w:val="000000"/>
              </w:rPr>
            </w:pPr>
            <w:r w:rsidRPr="002E65C6">
              <w:rPr>
                <w:color w:val="000000"/>
              </w:rPr>
              <w:t>16</w:t>
            </w:r>
          </w:p>
        </w:tc>
        <w:tc>
          <w:tcPr>
            <w:tcW w:w="677" w:type="pct"/>
            <w:shd w:val="clear" w:color="auto" w:fill="auto"/>
            <w:noWrap/>
            <w:vAlign w:val="center"/>
            <w:hideMark/>
          </w:tcPr>
          <w:p w:rsidR="00A83B7B" w:rsidRPr="002E65C6" w:rsidRDefault="00A83B7B" w:rsidP="001D3546">
            <w:pPr>
              <w:jc w:val="center"/>
              <w:rPr>
                <w:color w:val="000000"/>
              </w:rPr>
            </w:pPr>
            <w:r w:rsidRPr="002E65C6">
              <w:rPr>
                <w:color w:val="000000"/>
              </w:rPr>
              <w:t>14</w:t>
            </w:r>
          </w:p>
        </w:tc>
      </w:tr>
      <w:tr w:rsidR="00A83B7B" w:rsidTr="00A83B7B">
        <w:trPr>
          <w:cantSplit/>
          <w:trHeight w:val="397"/>
        </w:trPr>
        <w:tc>
          <w:tcPr>
            <w:tcW w:w="923" w:type="pct"/>
            <w:shd w:val="clear" w:color="auto" w:fill="auto"/>
            <w:noWrap/>
            <w:vAlign w:val="center"/>
            <w:hideMark/>
          </w:tcPr>
          <w:p w:rsidR="00A83B7B" w:rsidRPr="00C700C8" w:rsidRDefault="00A83B7B" w:rsidP="001D3546">
            <w:pPr>
              <w:rPr>
                <w:color w:val="000000"/>
              </w:rPr>
            </w:pPr>
            <w:r w:rsidRPr="00C700C8">
              <w:rPr>
                <w:color w:val="000000"/>
              </w:rPr>
              <w:t>Tayland</w:t>
            </w:r>
          </w:p>
        </w:tc>
        <w:tc>
          <w:tcPr>
            <w:tcW w:w="680" w:type="pct"/>
            <w:shd w:val="clear" w:color="auto" w:fill="auto"/>
            <w:noWrap/>
            <w:vAlign w:val="center"/>
            <w:hideMark/>
          </w:tcPr>
          <w:p w:rsidR="00A83B7B" w:rsidRPr="002E65C6" w:rsidRDefault="00A83B7B" w:rsidP="001D3546">
            <w:pPr>
              <w:jc w:val="center"/>
              <w:rPr>
                <w:color w:val="000000"/>
              </w:rPr>
            </w:pPr>
            <w:r w:rsidRPr="002E65C6">
              <w:rPr>
                <w:color w:val="000000"/>
              </w:rPr>
              <w:t>11</w:t>
            </w:r>
          </w:p>
        </w:tc>
        <w:tc>
          <w:tcPr>
            <w:tcW w:w="680" w:type="pct"/>
            <w:shd w:val="clear" w:color="auto" w:fill="auto"/>
            <w:noWrap/>
            <w:vAlign w:val="center"/>
            <w:hideMark/>
          </w:tcPr>
          <w:p w:rsidR="00A83B7B" w:rsidRPr="002E65C6" w:rsidRDefault="00A83B7B" w:rsidP="001D3546">
            <w:pPr>
              <w:jc w:val="center"/>
              <w:rPr>
                <w:color w:val="000000"/>
              </w:rPr>
            </w:pPr>
            <w:r w:rsidRPr="002E65C6">
              <w:rPr>
                <w:color w:val="000000"/>
              </w:rPr>
              <w:t>17</w:t>
            </w:r>
          </w:p>
        </w:tc>
        <w:tc>
          <w:tcPr>
            <w:tcW w:w="680" w:type="pct"/>
            <w:shd w:val="clear" w:color="auto" w:fill="auto"/>
            <w:noWrap/>
            <w:vAlign w:val="center"/>
            <w:hideMark/>
          </w:tcPr>
          <w:p w:rsidR="00A83B7B" w:rsidRPr="002E65C6" w:rsidRDefault="00A83B7B" w:rsidP="001D3546">
            <w:pPr>
              <w:jc w:val="center"/>
              <w:rPr>
                <w:color w:val="000000"/>
              </w:rPr>
            </w:pPr>
            <w:r w:rsidRPr="002E65C6">
              <w:rPr>
                <w:color w:val="000000"/>
              </w:rPr>
              <w:t>12</w:t>
            </w:r>
          </w:p>
        </w:tc>
        <w:tc>
          <w:tcPr>
            <w:tcW w:w="680" w:type="pct"/>
            <w:shd w:val="clear" w:color="auto" w:fill="auto"/>
            <w:noWrap/>
            <w:vAlign w:val="center"/>
            <w:hideMark/>
          </w:tcPr>
          <w:p w:rsidR="00A83B7B" w:rsidRPr="002E65C6" w:rsidRDefault="00A83B7B" w:rsidP="001D3546">
            <w:pPr>
              <w:jc w:val="center"/>
              <w:rPr>
                <w:color w:val="000000"/>
              </w:rPr>
            </w:pPr>
            <w:r w:rsidRPr="002E65C6">
              <w:rPr>
                <w:color w:val="000000"/>
              </w:rPr>
              <w:t>4</w:t>
            </w:r>
          </w:p>
        </w:tc>
        <w:tc>
          <w:tcPr>
            <w:tcW w:w="680" w:type="pct"/>
            <w:shd w:val="clear" w:color="auto" w:fill="auto"/>
            <w:noWrap/>
            <w:vAlign w:val="center"/>
            <w:hideMark/>
          </w:tcPr>
          <w:p w:rsidR="00A83B7B" w:rsidRPr="002E65C6" w:rsidRDefault="00A83B7B" w:rsidP="001D3546">
            <w:pPr>
              <w:jc w:val="center"/>
              <w:rPr>
                <w:color w:val="000000"/>
              </w:rPr>
            </w:pPr>
            <w:r w:rsidRPr="002E65C6">
              <w:rPr>
                <w:color w:val="000000"/>
              </w:rPr>
              <w:t>6</w:t>
            </w:r>
          </w:p>
        </w:tc>
        <w:tc>
          <w:tcPr>
            <w:tcW w:w="677" w:type="pct"/>
            <w:shd w:val="clear" w:color="auto" w:fill="auto"/>
            <w:noWrap/>
            <w:vAlign w:val="center"/>
            <w:hideMark/>
          </w:tcPr>
          <w:p w:rsidR="00A83B7B" w:rsidRPr="002E65C6" w:rsidRDefault="00A83B7B" w:rsidP="001D3546">
            <w:pPr>
              <w:jc w:val="center"/>
              <w:rPr>
                <w:color w:val="000000"/>
              </w:rPr>
            </w:pPr>
            <w:r w:rsidRPr="002E65C6">
              <w:rPr>
                <w:color w:val="000000"/>
              </w:rPr>
              <w:t>3</w:t>
            </w:r>
          </w:p>
        </w:tc>
      </w:tr>
      <w:tr w:rsidR="00A83B7B" w:rsidTr="00A83B7B">
        <w:trPr>
          <w:cantSplit/>
          <w:trHeight w:val="397"/>
        </w:trPr>
        <w:tc>
          <w:tcPr>
            <w:tcW w:w="923" w:type="pct"/>
            <w:shd w:val="clear" w:color="auto" w:fill="auto"/>
            <w:noWrap/>
            <w:vAlign w:val="center"/>
            <w:hideMark/>
          </w:tcPr>
          <w:p w:rsidR="00A83B7B" w:rsidRPr="00C700C8" w:rsidRDefault="00A83B7B" w:rsidP="001D3546">
            <w:pPr>
              <w:rPr>
                <w:color w:val="000000"/>
              </w:rPr>
            </w:pPr>
            <w:r w:rsidRPr="00C700C8">
              <w:rPr>
                <w:color w:val="000000"/>
              </w:rPr>
              <w:t>Brezilya</w:t>
            </w:r>
          </w:p>
        </w:tc>
        <w:tc>
          <w:tcPr>
            <w:tcW w:w="680" w:type="pct"/>
            <w:shd w:val="clear" w:color="auto" w:fill="auto"/>
            <w:noWrap/>
            <w:vAlign w:val="center"/>
            <w:hideMark/>
          </w:tcPr>
          <w:p w:rsidR="00A83B7B" w:rsidRPr="002E65C6" w:rsidRDefault="00A83B7B" w:rsidP="001D3546">
            <w:pPr>
              <w:jc w:val="center"/>
              <w:rPr>
                <w:color w:val="000000"/>
              </w:rPr>
            </w:pPr>
            <w:r w:rsidRPr="002E65C6">
              <w:rPr>
                <w:color w:val="000000"/>
              </w:rPr>
              <w:t>0</w:t>
            </w:r>
          </w:p>
        </w:tc>
        <w:tc>
          <w:tcPr>
            <w:tcW w:w="680" w:type="pct"/>
            <w:shd w:val="clear" w:color="auto" w:fill="auto"/>
            <w:noWrap/>
            <w:vAlign w:val="center"/>
            <w:hideMark/>
          </w:tcPr>
          <w:p w:rsidR="00A83B7B" w:rsidRPr="002E65C6" w:rsidRDefault="00A83B7B" w:rsidP="001D3546">
            <w:pPr>
              <w:jc w:val="center"/>
              <w:rPr>
                <w:color w:val="000000"/>
              </w:rPr>
            </w:pPr>
            <w:r w:rsidRPr="002E65C6">
              <w:rPr>
                <w:color w:val="000000"/>
              </w:rPr>
              <w:t>0</w:t>
            </w:r>
          </w:p>
        </w:tc>
        <w:tc>
          <w:tcPr>
            <w:tcW w:w="680" w:type="pct"/>
            <w:shd w:val="clear" w:color="auto" w:fill="auto"/>
            <w:noWrap/>
            <w:vAlign w:val="center"/>
            <w:hideMark/>
          </w:tcPr>
          <w:p w:rsidR="00A83B7B" w:rsidRPr="002E65C6" w:rsidRDefault="00A83B7B" w:rsidP="001D3546">
            <w:pPr>
              <w:jc w:val="center"/>
              <w:rPr>
                <w:color w:val="000000"/>
              </w:rPr>
            </w:pPr>
            <w:r w:rsidRPr="002E65C6">
              <w:rPr>
                <w:color w:val="000000"/>
              </w:rPr>
              <w:t>0</w:t>
            </w:r>
          </w:p>
        </w:tc>
        <w:tc>
          <w:tcPr>
            <w:tcW w:w="680" w:type="pct"/>
            <w:shd w:val="clear" w:color="auto" w:fill="auto"/>
            <w:noWrap/>
            <w:vAlign w:val="center"/>
            <w:hideMark/>
          </w:tcPr>
          <w:p w:rsidR="00A83B7B" w:rsidRPr="002E65C6" w:rsidRDefault="00A83B7B" w:rsidP="001D3546">
            <w:pPr>
              <w:jc w:val="center"/>
              <w:rPr>
                <w:color w:val="000000"/>
              </w:rPr>
            </w:pPr>
            <w:r w:rsidRPr="002E65C6">
              <w:rPr>
                <w:color w:val="000000"/>
              </w:rPr>
              <w:t>0</w:t>
            </w:r>
          </w:p>
        </w:tc>
        <w:tc>
          <w:tcPr>
            <w:tcW w:w="680" w:type="pct"/>
            <w:shd w:val="clear" w:color="auto" w:fill="auto"/>
            <w:noWrap/>
            <w:vAlign w:val="center"/>
            <w:hideMark/>
          </w:tcPr>
          <w:p w:rsidR="00A83B7B" w:rsidRPr="002E65C6" w:rsidRDefault="00A83B7B" w:rsidP="001D3546">
            <w:pPr>
              <w:jc w:val="center"/>
              <w:rPr>
                <w:color w:val="000000"/>
              </w:rPr>
            </w:pPr>
            <w:r w:rsidRPr="002E65C6">
              <w:rPr>
                <w:color w:val="000000"/>
              </w:rPr>
              <w:t>0</w:t>
            </w:r>
          </w:p>
        </w:tc>
        <w:tc>
          <w:tcPr>
            <w:tcW w:w="677" w:type="pct"/>
            <w:shd w:val="clear" w:color="auto" w:fill="auto"/>
            <w:noWrap/>
            <w:vAlign w:val="center"/>
            <w:hideMark/>
          </w:tcPr>
          <w:p w:rsidR="00A83B7B" w:rsidRPr="002E65C6" w:rsidRDefault="00A83B7B" w:rsidP="001D3546">
            <w:pPr>
              <w:jc w:val="center"/>
              <w:rPr>
                <w:color w:val="000000"/>
              </w:rPr>
            </w:pPr>
            <w:r w:rsidRPr="002E65C6">
              <w:rPr>
                <w:color w:val="000000"/>
              </w:rPr>
              <w:t>1</w:t>
            </w:r>
          </w:p>
        </w:tc>
      </w:tr>
      <w:tr w:rsidR="00A83B7B" w:rsidTr="00A83B7B">
        <w:trPr>
          <w:cantSplit/>
          <w:trHeight w:val="397"/>
        </w:trPr>
        <w:tc>
          <w:tcPr>
            <w:tcW w:w="923" w:type="pct"/>
            <w:shd w:val="clear" w:color="auto" w:fill="auto"/>
            <w:noWrap/>
            <w:vAlign w:val="center"/>
            <w:hideMark/>
          </w:tcPr>
          <w:p w:rsidR="00A83B7B" w:rsidRPr="00C700C8" w:rsidRDefault="00A83B7B" w:rsidP="001D3546">
            <w:pPr>
              <w:rPr>
                <w:color w:val="000000"/>
              </w:rPr>
            </w:pPr>
            <w:r w:rsidRPr="00C700C8">
              <w:rPr>
                <w:color w:val="000000"/>
              </w:rPr>
              <w:t>İngiltere</w:t>
            </w:r>
          </w:p>
        </w:tc>
        <w:tc>
          <w:tcPr>
            <w:tcW w:w="680" w:type="pct"/>
            <w:shd w:val="clear" w:color="auto" w:fill="auto"/>
            <w:noWrap/>
            <w:vAlign w:val="center"/>
            <w:hideMark/>
          </w:tcPr>
          <w:p w:rsidR="00A83B7B" w:rsidRPr="002E65C6" w:rsidRDefault="00A83B7B" w:rsidP="001D3546">
            <w:pPr>
              <w:jc w:val="center"/>
              <w:rPr>
                <w:color w:val="000000"/>
              </w:rPr>
            </w:pPr>
            <w:r w:rsidRPr="002E65C6">
              <w:rPr>
                <w:color w:val="000000"/>
              </w:rPr>
              <w:t>6</w:t>
            </w:r>
          </w:p>
        </w:tc>
        <w:tc>
          <w:tcPr>
            <w:tcW w:w="680" w:type="pct"/>
            <w:shd w:val="clear" w:color="auto" w:fill="auto"/>
            <w:noWrap/>
            <w:vAlign w:val="center"/>
            <w:hideMark/>
          </w:tcPr>
          <w:p w:rsidR="00A83B7B" w:rsidRPr="002E65C6" w:rsidRDefault="00A83B7B" w:rsidP="001D3546">
            <w:pPr>
              <w:jc w:val="center"/>
              <w:rPr>
                <w:color w:val="000000"/>
              </w:rPr>
            </w:pPr>
            <w:r w:rsidRPr="002E65C6">
              <w:rPr>
                <w:color w:val="000000"/>
              </w:rPr>
              <w:t>6</w:t>
            </w:r>
          </w:p>
        </w:tc>
        <w:tc>
          <w:tcPr>
            <w:tcW w:w="680" w:type="pct"/>
            <w:shd w:val="clear" w:color="auto" w:fill="auto"/>
            <w:noWrap/>
            <w:vAlign w:val="center"/>
            <w:hideMark/>
          </w:tcPr>
          <w:p w:rsidR="00A83B7B" w:rsidRPr="002E65C6" w:rsidRDefault="00A83B7B" w:rsidP="001D3546">
            <w:pPr>
              <w:jc w:val="center"/>
              <w:rPr>
                <w:color w:val="000000"/>
              </w:rPr>
            </w:pPr>
            <w:r w:rsidRPr="002E65C6">
              <w:rPr>
                <w:color w:val="000000"/>
              </w:rPr>
              <w:t>10</w:t>
            </w:r>
          </w:p>
        </w:tc>
        <w:tc>
          <w:tcPr>
            <w:tcW w:w="680" w:type="pct"/>
            <w:shd w:val="clear" w:color="auto" w:fill="auto"/>
            <w:noWrap/>
            <w:vAlign w:val="center"/>
            <w:hideMark/>
          </w:tcPr>
          <w:p w:rsidR="00A83B7B" w:rsidRPr="002E65C6" w:rsidRDefault="00A83B7B" w:rsidP="001D3546">
            <w:pPr>
              <w:jc w:val="center"/>
              <w:rPr>
                <w:color w:val="000000"/>
              </w:rPr>
            </w:pPr>
            <w:r w:rsidRPr="002E65C6">
              <w:rPr>
                <w:color w:val="000000"/>
              </w:rPr>
              <w:t>3</w:t>
            </w:r>
          </w:p>
        </w:tc>
        <w:tc>
          <w:tcPr>
            <w:tcW w:w="680" w:type="pct"/>
            <w:shd w:val="clear" w:color="auto" w:fill="auto"/>
            <w:noWrap/>
            <w:vAlign w:val="center"/>
            <w:hideMark/>
          </w:tcPr>
          <w:p w:rsidR="00A83B7B" w:rsidRPr="002E65C6" w:rsidRDefault="00A83B7B" w:rsidP="001D3546">
            <w:pPr>
              <w:jc w:val="center"/>
              <w:rPr>
                <w:color w:val="000000"/>
              </w:rPr>
            </w:pPr>
            <w:r w:rsidRPr="002E65C6">
              <w:rPr>
                <w:color w:val="000000"/>
              </w:rPr>
              <w:t>8</w:t>
            </w:r>
          </w:p>
        </w:tc>
        <w:tc>
          <w:tcPr>
            <w:tcW w:w="677" w:type="pct"/>
            <w:shd w:val="clear" w:color="auto" w:fill="auto"/>
            <w:noWrap/>
            <w:vAlign w:val="center"/>
            <w:hideMark/>
          </w:tcPr>
          <w:p w:rsidR="00A83B7B" w:rsidRPr="002E65C6" w:rsidRDefault="00A83B7B" w:rsidP="001D3546">
            <w:pPr>
              <w:jc w:val="center"/>
              <w:rPr>
                <w:color w:val="000000"/>
              </w:rPr>
            </w:pPr>
            <w:r w:rsidRPr="002E65C6">
              <w:rPr>
                <w:color w:val="000000"/>
              </w:rPr>
              <w:t>1</w:t>
            </w:r>
          </w:p>
        </w:tc>
      </w:tr>
      <w:tr w:rsidR="00A83B7B" w:rsidTr="00A83B7B">
        <w:trPr>
          <w:cantSplit/>
          <w:trHeight w:val="397"/>
        </w:trPr>
        <w:tc>
          <w:tcPr>
            <w:tcW w:w="923" w:type="pct"/>
            <w:shd w:val="clear" w:color="auto" w:fill="auto"/>
            <w:noWrap/>
            <w:vAlign w:val="center"/>
            <w:hideMark/>
          </w:tcPr>
          <w:p w:rsidR="00A83B7B" w:rsidRPr="00C700C8" w:rsidRDefault="00A83B7B" w:rsidP="001D3546">
            <w:pPr>
              <w:rPr>
                <w:color w:val="000000"/>
              </w:rPr>
            </w:pPr>
            <w:r w:rsidRPr="00C700C8">
              <w:rPr>
                <w:color w:val="000000"/>
              </w:rPr>
              <w:t>İran</w:t>
            </w:r>
          </w:p>
        </w:tc>
        <w:tc>
          <w:tcPr>
            <w:tcW w:w="680" w:type="pct"/>
            <w:shd w:val="clear" w:color="auto" w:fill="auto"/>
            <w:noWrap/>
            <w:vAlign w:val="center"/>
            <w:hideMark/>
          </w:tcPr>
          <w:p w:rsidR="00A83B7B" w:rsidRPr="002E65C6" w:rsidRDefault="00A83B7B" w:rsidP="001D3546">
            <w:pPr>
              <w:jc w:val="center"/>
              <w:rPr>
                <w:color w:val="000000"/>
              </w:rPr>
            </w:pPr>
            <w:r w:rsidRPr="002E65C6">
              <w:rPr>
                <w:color w:val="000000"/>
              </w:rPr>
              <w:t>0</w:t>
            </w:r>
          </w:p>
        </w:tc>
        <w:tc>
          <w:tcPr>
            <w:tcW w:w="680" w:type="pct"/>
            <w:shd w:val="clear" w:color="auto" w:fill="auto"/>
            <w:noWrap/>
            <w:vAlign w:val="center"/>
            <w:hideMark/>
          </w:tcPr>
          <w:p w:rsidR="00A83B7B" w:rsidRPr="002E65C6" w:rsidRDefault="00A83B7B" w:rsidP="001D3546">
            <w:pPr>
              <w:jc w:val="center"/>
              <w:rPr>
                <w:color w:val="000000"/>
              </w:rPr>
            </w:pPr>
            <w:r w:rsidRPr="002E65C6">
              <w:rPr>
                <w:color w:val="000000"/>
              </w:rPr>
              <w:t>0</w:t>
            </w:r>
          </w:p>
        </w:tc>
        <w:tc>
          <w:tcPr>
            <w:tcW w:w="680" w:type="pct"/>
            <w:shd w:val="clear" w:color="auto" w:fill="auto"/>
            <w:noWrap/>
            <w:vAlign w:val="center"/>
            <w:hideMark/>
          </w:tcPr>
          <w:p w:rsidR="00A83B7B" w:rsidRPr="002E65C6" w:rsidRDefault="00A83B7B" w:rsidP="001D3546">
            <w:pPr>
              <w:jc w:val="center"/>
              <w:rPr>
                <w:color w:val="000000"/>
              </w:rPr>
            </w:pPr>
            <w:r w:rsidRPr="002E65C6">
              <w:rPr>
                <w:color w:val="000000"/>
              </w:rPr>
              <w:t>0</w:t>
            </w:r>
          </w:p>
        </w:tc>
        <w:tc>
          <w:tcPr>
            <w:tcW w:w="680" w:type="pct"/>
            <w:shd w:val="clear" w:color="auto" w:fill="auto"/>
            <w:noWrap/>
            <w:vAlign w:val="center"/>
            <w:hideMark/>
          </w:tcPr>
          <w:p w:rsidR="00A83B7B" w:rsidRPr="002E65C6" w:rsidRDefault="00A83B7B" w:rsidP="001D3546">
            <w:pPr>
              <w:jc w:val="center"/>
              <w:rPr>
                <w:color w:val="000000"/>
              </w:rPr>
            </w:pPr>
            <w:r w:rsidRPr="002E65C6">
              <w:rPr>
                <w:color w:val="000000"/>
              </w:rPr>
              <w:t>0</w:t>
            </w:r>
          </w:p>
        </w:tc>
        <w:tc>
          <w:tcPr>
            <w:tcW w:w="680" w:type="pct"/>
            <w:shd w:val="clear" w:color="auto" w:fill="auto"/>
            <w:noWrap/>
            <w:vAlign w:val="center"/>
            <w:hideMark/>
          </w:tcPr>
          <w:p w:rsidR="00A83B7B" w:rsidRPr="002E65C6" w:rsidRDefault="00A83B7B" w:rsidP="001D3546">
            <w:pPr>
              <w:jc w:val="center"/>
              <w:rPr>
                <w:color w:val="000000"/>
              </w:rPr>
            </w:pPr>
            <w:r w:rsidRPr="002E65C6">
              <w:rPr>
                <w:color w:val="000000"/>
              </w:rPr>
              <w:t>0</w:t>
            </w:r>
          </w:p>
        </w:tc>
        <w:tc>
          <w:tcPr>
            <w:tcW w:w="677" w:type="pct"/>
            <w:shd w:val="clear" w:color="auto" w:fill="auto"/>
            <w:noWrap/>
            <w:vAlign w:val="center"/>
            <w:hideMark/>
          </w:tcPr>
          <w:p w:rsidR="00A83B7B" w:rsidRPr="002E65C6" w:rsidRDefault="00A83B7B" w:rsidP="001D3546">
            <w:pPr>
              <w:jc w:val="center"/>
              <w:rPr>
                <w:color w:val="000000"/>
              </w:rPr>
            </w:pPr>
            <w:r w:rsidRPr="002E65C6">
              <w:rPr>
                <w:color w:val="000000"/>
              </w:rPr>
              <w:t>1</w:t>
            </w:r>
          </w:p>
        </w:tc>
      </w:tr>
      <w:tr w:rsidR="00A83B7B" w:rsidTr="00A83B7B">
        <w:trPr>
          <w:cantSplit/>
          <w:trHeight w:val="397"/>
        </w:trPr>
        <w:tc>
          <w:tcPr>
            <w:tcW w:w="923" w:type="pct"/>
            <w:shd w:val="clear" w:color="auto" w:fill="auto"/>
            <w:noWrap/>
            <w:vAlign w:val="center"/>
          </w:tcPr>
          <w:p w:rsidR="00A83B7B" w:rsidRPr="00125018" w:rsidRDefault="00A83B7B" w:rsidP="001D3546">
            <w:pPr>
              <w:rPr>
                <w:color w:val="000000"/>
              </w:rPr>
            </w:pPr>
            <w:r w:rsidRPr="00125018">
              <w:rPr>
                <w:color w:val="000000"/>
              </w:rPr>
              <w:t>Diğer</w:t>
            </w:r>
          </w:p>
        </w:tc>
        <w:tc>
          <w:tcPr>
            <w:tcW w:w="680" w:type="pct"/>
            <w:shd w:val="clear" w:color="auto" w:fill="auto"/>
            <w:noWrap/>
            <w:vAlign w:val="center"/>
          </w:tcPr>
          <w:p w:rsidR="00A83B7B" w:rsidRPr="002E65C6" w:rsidRDefault="00A83B7B" w:rsidP="001D3546">
            <w:pPr>
              <w:jc w:val="center"/>
              <w:rPr>
                <w:color w:val="000000"/>
              </w:rPr>
            </w:pPr>
            <w:r w:rsidRPr="002E65C6">
              <w:rPr>
                <w:color w:val="000000"/>
              </w:rPr>
              <w:t>37</w:t>
            </w:r>
          </w:p>
        </w:tc>
        <w:tc>
          <w:tcPr>
            <w:tcW w:w="680" w:type="pct"/>
            <w:shd w:val="clear" w:color="auto" w:fill="auto"/>
            <w:noWrap/>
            <w:vAlign w:val="center"/>
          </w:tcPr>
          <w:p w:rsidR="00A83B7B" w:rsidRPr="002E65C6" w:rsidRDefault="00A83B7B" w:rsidP="001D3546">
            <w:pPr>
              <w:jc w:val="center"/>
              <w:rPr>
                <w:color w:val="000000"/>
              </w:rPr>
            </w:pPr>
            <w:r w:rsidRPr="002E65C6">
              <w:rPr>
                <w:color w:val="000000"/>
              </w:rPr>
              <w:t>5</w:t>
            </w:r>
          </w:p>
        </w:tc>
        <w:tc>
          <w:tcPr>
            <w:tcW w:w="680" w:type="pct"/>
            <w:shd w:val="clear" w:color="auto" w:fill="auto"/>
            <w:noWrap/>
            <w:vAlign w:val="center"/>
          </w:tcPr>
          <w:p w:rsidR="00A83B7B" w:rsidRPr="002E65C6" w:rsidRDefault="00A83B7B" w:rsidP="001D3546">
            <w:pPr>
              <w:jc w:val="center"/>
              <w:rPr>
                <w:color w:val="000000"/>
              </w:rPr>
            </w:pPr>
            <w:r w:rsidRPr="002E65C6">
              <w:rPr>
                <w:color w:val="000000"/>
              </w:rPr>
              <w:t>0</w:t>
            </w:r>
          </w:p>
        </w:tc>
        <w:tc>
          <w:tcPr>
            <w:tcW w:w="680" w:type="pct"/>
            <w:shd w:val="clear" w:color="auto" w:fill="auto"/>
            <w:noWrap/>
            <w:vAlign w:val="center"/>
          </w:tcPr>
          <w:p w:rsidR="00A83B7B" w:rsidRPr="002E65C6" w:rsidRDefault="00A83B7B" w:rsidP="001D3546">
            <w:pPr>
              <w:jc w:val="center"/>
              <w:rPr>
                <w:color w:val="000000"/>
              </w:rPr>
            </w:pPr>
            <w:r w:rsidRPr="002E65C6">
              <w:rPr>
                <w:color w:val="000000"/>
              </w:rPr>
              <w:t>4</w:t>
            </w:r>
          </w:p>
        </w:tc>
        <w:tc>
          <w:tcPr>
            <w:tcW w:w="680" w:type="pct"/>
            <w:shd w:val="clear" w:color="auto" w:fill="auto"/>
            <w:noWrap/>
            <w:vAlign w:val="center"/>
          </w:tcPr>
          <w:p w:rsidR="00A83B7B" w:rsidRPr="002E65C6" w:rsidRDefault="00A83B7B" w:rsidP="001D3546">
            <w:pPr>
              <w:jc w:val="center"/>
              <w:rPr>
                <w:color w:val="000000"/>
              </w:rPr>
            </w:pPr>
            <w:r w:rsidRPr="002E65C6">
              <w:rPr>
                <w:color w:val="000000"/>
              </w:rPr>
              <w:t>2</w:t>
            </w:r>
          </w:p>
        </w:tc>
        <w:tc>
          <w:tcPr>
            <w:tcW w:w="677" w:type="pct"/>
            <w:shd w:val="clear" w:color="auto" w:fill="auto"/>
            <w:noWrap/>
            <w:vAlign w:val="center"/>
          </w:tcPr>
          <w:p w:rsidR="00A83B7B" w:rsidRPr="002E65C6" w:rsidRDefault="00A83B7B" w:rsidP="001D3546">
            <w:pPr>
              <w:jc w:val="center"/>
              <w:rPr>
                <w:color w:val="000000"/>
              </w:rPr>
            </w:pPr>
            <w:r w:rsidRPr="002E65C6">
              <w:rPr>
                <w:color w:val="000000"/>
              </w:rPr>
              <w:t>1</w:t>
            </w:r>
          </w:p>
        </w:tc>
      </w:tr>
    </w:tbl>
    <w:p w:rsidR="00A83B7B" w:rsidRDefault="00A83B7B" w:rsidP="00A83B7B">
      <w:pPr>
        <w:jc w:val="both"/>
      </w:pPr>
    </w:p>
    <w:p w:rsidR="00A83B7B" w:rsidRDefault="00821D16" w:rsidP="00A83B7B">
      <w:pPr>
        <w:ind w:firstLine="708"/>
        <w:jc w:val="both"/>
      </w:pPr>
      <w:r w:rsidRPr="008A3C30">
        <w:t xml:space="preserve">İnceleme konusu dönemde tereftalik asit ithalatında ülke paylarının bazı ülkeler hariç önemli ölçüde değişiklik gösterdiği görülmektedir. </w:t>
      </w:r>
      <w:r w:rsidR="00A83B7B" w:rsidRPr="008A3C30">
        <w:t>2008 yılında aralarında ABD ve Suudi Arabistan’ın da yer aldığı diğer ülkelerden yapılan ithalat toplam ithalatın %37’sini oluştururken 2013 yılında bu grupta yer alan ülkelerin ithalattan aldığı pay sıfıra gerilemiştir. İspanya 2008 yı</w:t>
      </w:r>
      <w:r w:rsidR="008C799E">
        <w:t>lındaki payını inceleme dönemi süresince</w:t>
      </w:r>
      <w:r w:rsidR="00A83B7B" w:rsidRPr="008A3C30">
        <w:t xml:space="preserve"> kaybetse de 2013 yılı itibariyle en çok ithalat yapılan ülke olmuştur. 2008 yılında ithalat içindeki payı %9 olan Belçika ise 2009 yılından itibaren ithalat içindeki payını artırmış ve 2013 yılı itibariyle ikinci sırada yer almıştır. Güney Kore’den inceleme dönemi boyunca ithalat gerçekleşmiş, 2013 yılında yürürlüğe giren Serbest Ticaret Anlaşması sonrasında gümrük vergisinin kalkmasıyla bu ülkeden yapılan ithalat</w:t>
      </w:r>
      <w:r w:rsidR="00A83B7B">
        <w:t>ın payı</w:t>
      </w:r>
      <w:r w:rsidR="00A83B7B" w:rsidRPr="008A3C30">
        <w:t xml:space="preserve"> bu yılda %19’a yükselmiş, Güney Kore ise en çok ithalat yapılan üçüncü ülke olmuştur.  Polonya ve Portekiz ise sırasıyla 2011 ve 2012 yıllarında ülkelerinde faaliyete geçen tereftalik asit üreticilerinin varlığı nedeniyle Türkiye’ye ihracata </w:t>
      </w:r>
      <w:r w:rsidR="00A83B7B" w:rsidRPr="008A3C30">
        <w:lastRenderedPageBreak/>
        <w:t>başlamış kısa sürede önemli ithalat paylarına ulaşarak 2013 yılında menşe ülkeler içinde dördüncü ve beşinci sıralarda yer almışlardır. İngiltere ve Tayland’dan inceleme dönemi boyunca ithalat yapılmaya devam etmiştir.</w:t>
      </w:r>
      <w:r w:rsidR="00A83B7B" w:rsidRPr="00125018">
        <w:t xml:space="preserve"> </w:t>
      </w:r>
    </w:p>
    <w:p w:rsidR="00A83B7B" w:rsidRPr="00125018" w:rsidRDefault="00A83B7B" w:rsidP="00A83B7B">
      <w:pPr>
        <w:pStyle w:val="Balk3"/>
      </w:pPr>
      <w:bookmarkStart w:id="100" w:name="_Toc384116981"/>
      <w:r w:rsidRPr="00125018">
        <w:t>Değerlendirme</w:t>
      </w:r>
      <w:bookmarkEnd w:id="100"/>
    </w:p>
    <w:p w:rsidR="00A83B7B" w:rsidRDefault="00A83B7B" w:rsidP="00A83B7B">
      <w:pPr>
        <w:ind w:firstLine="708"/>
        <w:jc w:val="both"/>
      </w:pPr>
      <w:r w:rsidRPr="00125018">
        <w:t>Soruşturma konusu ürünün ithalat art</w:t>
      </w:r>
      <w:r>
        <w:t>ışı, inceleme dönemi boyunca %101 olarak gerçekleşmiştir. 2013 yılında ise ithalatın</w:t>
      </w:r>
      <w:r w:rsidRPr="00125018">
        <w:t xml:space="preserve"> </w:t>
      </w:r>
      <w:r w:rsidR="008C799E">
        <w:t xml:space="preserve">bir önceki yıla göre </w:t>
      </w:r>
      <w:r w:rsidRPr="00125018">
        <w:t>%</w:t>
      </w:r>
      <w:r>
        <w:t>24</w:t>
      </w:r>
      <w:r w:rsidRPr="00125018">
        <w:t xml:space="preserve"> oranında artış kaydettiği tespit edilmiştir. Buna paralel olarak, ithalatın yerli üretime oranı ile ithalatın piyasa payının da inceleme döneminin özellikle son yılında önemli ölçüde arttığı görülmektedir. Bu itibarla, inceleme döneminde soruşturma konusu ürünün ithalatında gerek mutlak gerekse nispi olarak ani,  keskin, önemli ve yakın zamanlı bir artış yaşandığı sonucuna varılmaktadır. </w:t>
      </w:r>
    </w:p>
    <w:p w:rsidR="00244D39" w:rsidRDefault="00244D39" w:rsidP="00DF5412">
      <w:pPr>
        <w:ind w:firstLine="708"/>
        <w:jc w:val="both"/>
      </w:pPr>
    </w:p>
    <w:p w:rsidR="004328B1" w:rsidRPr="00125018" w:rsidRDefault="004328B1" w:rsidP="00F05C7E">
      <w:pPr>
        <w:pStyle w:val="Balk2"/>
      </w:pPr>
      <w:bookmarkStart w:id="101" w:name="_Toc384116982"/>
      <w:r w:rsidRPr="00125018">
        <w:t>YERLİ ÜRETİME İLİŞKİN EKONOMİK GÖSTERGELER</w:t>
      </w:r>
      <w:bookmarkEnd w:id="101"/>
    </w:p>
    <w:p w:rsidR="00683A4C" w:rsidRDefault="004328B1" w:rsidP="00683A4C">
      <w:pPr>
        <w:ind w:firstLine="708"/>
        <w:jc w:val="both"/>
      </w:pPr>
      <w:r w:rsidRPr="00125018">
        <w:t xml:space="preserve">Soruşturma konusu ürünün yerli üretimine ilişkin ekonomik göstergeler, başvuru sahibi </w:t>
      </w:r>
      <w:r w:rsidR="00683A4C">
        <w:t xml:space="preserve">firma </w:t>
      </w:r>
      <w:r w:rsidRPr="00125018">
        <w:t>tarafından sağlanan verilere dayanmaktadır.</w:t>
      </w:r>
      <w:r w:rsidR="00683A4C">
        <w:t xml:space="preserve"> </w:t>
      </w:r>
      <w:r w:rsidR="00683A4C" w:rsidRPr="00125018">
        <w:t>Petkim yıllık raporlarında kamuya açık ol</w:t>
      </w:r>
      <w:r w:rsidR="00683A4C">
        <w:t xml:space="preserve">arak yer alan üretim, kapasite ve </w:t>
      </w:r>
      <w:r w:rsidR="00683A4C" w:rsidRPr="00125018">
        <w:t xml:space="preserve">kapasite kullanım oranı verileri </w:t>
      </w:r>
      <w:r w:rsidR="00683A4C">
        <w:t xml:space="preserve">endekslenmemiş </w:t>
      </w:r>
      <w:r w:rsidR="00683A4C" w:rsidRPr="00125018">
        <w:t xml:space="preserve">olarak </w:t>
      </w:r>
      <w:r w:rsidR="00683A4C">
        <w:t>yer almaktadır</w:t>
      </w:r>
      <w:r w:rsidR="00683A4C" w:rsidRPr="00125018">
        <w:t xml:space="preserve">. Diğer ekonomik veriler yerli üreticinin ticari sırlarının korunması amacıyla endekslenerek ilan edilmiştir. </w:t>
      </w:r>
    </w:p>
    <w:p w:rsidR="00F05C7E" w:rsidRPr="00F05C7E" w:rsidRDefault="00F05C7E" w:rsidP="00A85C10">
      <w:pPr>
        <w:pStyle w:val="ListeParagraf"/>
        <w:keepNext/>
        <w:numPr>
          <w:ilvl w:val="0"/>
          <w:numId w:val="7"/>
        </w:numPr>
        <w:spacing w:before="240" w:after="240" w:line="360" w:lineRule="auto"/>
        <w:contextualSpacing w:val="0"/>
        <w:outlineLvl w:val="2"/>
        <w:rPr>
          <w:rFonts w:ascii="Times New Roman" w:eastAsia="Times New Roman" w:hAnsi="Times New Roman" w:cs="Arial"/>
          <w:b/>
          <w:bCs/>
          <w:vanish/>
          <w:sz w:val="24"/>
          <w:szCs w:val="16"/>
          <w:lang w:eastAsia="tr-TR"/>
        </w:rPr>
      </w:pPr>
      <w:bookmarkStart w:id="102" w:name="_Toc365040417"/>
      <w:bookmarkStart w:id="103" w:name="_Toc365383365"/>
      <w:bookmarkStart w:id="104" w:name="_Toc380746376"/>
      <w:bookmarkStart w:id="105" w:name="_Toc381623880"/>
      <w:bookmarkStart w:id="106" w:name="_Toc381624055"/>
      <w:bookmarkStart w:id="107" w:name="_Toc381624230"/>
      <w:bookmarkStart w:id="108" w:name="_Toc381629414"/>
      <w:bookmarkStart w:id="109" w:name="_Toc381865091"/>
      <w:bookmarkStart w:id="110" w:name="_Toc381865944"/>
      <w:bookmarkStart w:id="111" w:name="_Toc381967961"/>
      <w:bookmarkStart w:id="112" w:name="_Toc383597518"/>
      <w:bookmarkStart w:id="113" w:name="_Toc383613923"/>
      <w:bookmarkStart w:id="114" w:name="_Toc383613968"/>
      <w:bookmarkStart w:id="115" w:name="_Toc383683780"/>
      <w:bookmarkStart w:id="116" w:name="_Toc383697990"/>
      <w:bookmarkStart w:id="117" w:name="_Toc383709924"/>
      <w:bookmarkStart w:id="118" w:name="_Toc383768413"/>
      <w:bookmarkStart w:id="119" w:name="_Toc383777617"/>
      <w:bookmarkStart w:id="120" w:name="_Toc383778350"/>
      <w:bookmarkStart w:id="121" w:name="_Toc384116983"/>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B32B15" w:rsidRDefault="00B32B15" w:rsidP="0071243E">
      <w:pPr>
        <w:pStyle w:val="Balk3"/>
      </w:pPr>
      <w:bookmarkStart w:id="122" w:name="_Toc384116984"/>
      <w:r>
        <w:t>Tüketim</w:t>
      </w:r>
      <w:bookmarkEnd w:id="122"/>
      <w:r>
        <w:t xml:space="preserve"> </w:t>
      </w:r>
    </w:p>
    <w:p w:rsidR="00B32B15" w:rsidRDefault="00B32B15" w:rsidP="00B32B15">
      <w:pPr>
        <w:ind w:firstLine="708"/>
        <w:jc w:val="both"/>
      </w:pPr>
      <w:r w:rsidRPr="00125018">
        <w:t xml:space="preserve">Tüketim </w:t>
      </w:r>
      <w:r w:rsidR="00683A4C">
        <w:t>miktarı</w:t>
      </w:r>
      <w:r w:rsidRPr="00125018">
        <w:t xml:space="preserve">, başvuru sahibi yerli üreticinin yurt içi satışları ile toplam </w:t>
      </w:r>
      <w:r w:rsidR="008C799E">
        <w:t>DİR hariç</w:t>
      </w:r>
      <w:r w:rsidRPr="00125018">
        <w:t xml:space="preserve"> ithalat miktarı kullanılarak hesaplanmıştır.</w:t>
      </w:r>
    </w:p>
    <w:p w:rsidR="00B32B15" w:rsidRPr="00125018" w:rsidRDefault="00B32B15" w:rsidP="00B32B15">
      <w:pPr>
        <w:ind w:firstLine="708"/>
        <w:jc w:val="both"/>
      </w:pPr>
    </w:p>
    <w:tbl>
      <w:tblPr>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425"/>
        <w:gridCol w:w="1310"/>
        <w:gridCol w:w="1310"/>
        <w:gridCol w:w="1311"/>
        <w:gridCol w:w="1310"/>
        <w:gridCol w:w="1311"/>
        <w:gridCol w:w="1311"/>
      </w:tblGrid>
      <w:tr w:rsidR="00B32B15" w:rsidRPr="00125018" w:rsidTr="00A83B7B">
        <w:trPr>
          <w:cantSplit/>
          <w:trHeight w:val="397"/>
          <w:tblHeader/>
        </w:trPr>
        <w:tc>
          <w:tcPr>
            <w:tcW w:w="767" w:type="pct"/>
            <w:tcBorders>
              <w:top w:val="double" w:sz="4" w:space="0" w:color="auto"/>
              <w:bottom w:val="nil"/>
              <w:right w:val="nil"/>
            </w:tcBorders>
            <w:vAlign w:val="center"/>
          </w:tcPr>
          <w:p w:rsidR="00B32B15" w:rsidRPr="00125018" w:rsidRDefault="00B32B15" w:rsidP="00D271A0">
            <w:pPr>
              <w:jc w:val="both"/>
            </w:pPr>
            <w:r w:rsidRPr="00125018">
              <w:t>Tüketim</w:t>
            </w:r>
          </w:p>
        </w:tc>
        <w:tc>
          <w:tcPr>
            <w:tcW w:w="705" w:type="pct"/>
            <w:tcBorders>
              <w:top w:val="double" w:sz="4" w:space="0" w:color="auto"/>
              <w:left w:val="nil"/>
              <w:bottom w:val="nil"/>
            </w:tcBorders>
            <w:vAlign w:val="center"/>
          </w:tcPr>
          <w:p w:rsidR="00B32B15" w:rsidRPr="00125018" w:rsidRDefault="00B32B15" w:rsidP="00D271A0">
            <w:pPr>
              <w:jc w:val="center"/>
            </w:pPr>
            <w:r w:rsidRPr="00125018">
              <w:t>2008</w:t>
            </w:r>
          </w:p>
        </w:tc>
        <w:tc>
          <w:tcPr>
            <w:tcW w:w="705" w:type="pct"/>
            <w:tcBorders>
              <w:top w:val="double" w:sz="4" w:space="0" w:color="auto"/>
              <w:bottom w:val="nil"/>
            </w:tcBorders>
            <w:vAlign w:val="center"/>
          </w:tcPr>
          <w:p w:rsidR="00B32B15" w:rsidRPr="00125018" w:rsidRDefault="00B32B15" w:rsidP="00D271A0">
            <w:pPr>
              <w:jc w:val="center"/>
            </w:pPr>
            <w:r w:rsidRPr="00125018">
              <w:t>2009</w:t>
            </w:r>
          </w:p>
        </w:tc>
        <w:tc>
          <w:tcPr>
            <w:tcW w:w="706" w:type="pct"/>
            <w:tcBorders>
              <w:top w:val="double" w:sz="4" w:space="0" w:color="auto"/>
              <w:bottom w:val="nil"/>
            </w:tcBorders>
            <w:vAlign w:val="center"/>
          </w:tcPr>
          <w:p w:rsidR="00B32B15" w:rsidRPr="00125018" w:rsidRDefault="00B32B15" w:rsidP="00D271A0">
            <w:pPr>
              <w:jc w:val="center"/>
            </w:pPr>
            <w:r w:rsidRPr="00125018">
              <w:t>2010</w:t>
            </w:r>
          </w:p>
        </w:tc>
        <w:tc>
          <w:tcPr>
            <w:tcW w:w="705" w:type="pct"/>
            <w:tcBorders>
              <w:top w:val="double" w:sz="4" w:space="0" w:color="auto"/>
              <w:bottom w:val="nil"/>
            </w:tcBorders>
            <w:vAlign w:val="center"/>
          </w:tcPr>
          <w:p w:rsidR="00B32B15" w:rsidRPr="00125018" w:rsidRDefault="00B32B15" w:rsidP="00D271A0">
            <w:pPr>
              <w:jc w:val="center"/>
            </w:pPr>
            <w:r w:rsidRPr="00125018">
              <w:t>2011</w:t>
            </w:r>
          </w:p>
        </w:tc>
        <w:tc>
          <w:tcPr>
            <w:tcW w:w="706" w:type="pct"/>
            <w:tcBorders>
              <w:top w:val="double" w:sz="4" w:space="0" w:color="auto"/>
              <w:bottom w:val="nil"/>
            </w:tcBorders>
            <w:vAlign w:val="center"/>
          </w:tcPr>
          <w:p w:rsidR="00B32B15" w:rsidRPr="00125018" w:rsidRDefault="00B32B15" w:rsidP="00D271A0">
            <w:pPr>
              <w:jc w:val="center"/>
            </w:pPr>
            <w:r w:rsidRPr="00125018">
              <w:t>2012</w:t>
            </w:r>
          </w:p>
        </w:tc>
        <w:tc>
          <w:tcPr>
            <w:tcW w:w="706" w:type="pct"/>
            <w:tcBorders>
              <w:top w:val="double" w:sz="4" w:space="0" w:color="auto"/>
              <w:bottom w:val="nil"/>
            </w:tcBorders>
            <w:vAlign w:val="center"/>
          </w:tcPr>
          <w:p w:rsidR="00B32B15" w:rsidRPr="00125018" w:rsidRDefault="00B32B15" w:rsidP="00D271A0">
            <w:pPr>
              <w:jc w:val="center"/>
            </w:pPr>
            <w:r>
              <w:t>2013</w:t>
            </w:r>
          </w:p>
        </w:tc>
      </w:tr>
      <w:tr w:rsidR="00B32B15" w:rsidRPr="00125018" w:rsidTr="00A83B7B">
        <w:trPr>
          <w:cantSplit/>
          <w:trHeight w:val="397"/>
        </w:trPr>
        <w:tc>
          <w:tcPr>
            <w:tcW w:w="767" w:type="pct"/>
            <w:tcBorders>
              <w:top w:val="nil"/>
              <w:bottom w:val="double" w:sz="4" w:space="0" w:color="auto"/>
              <w:right w:val="nil"/>
            </w:tcBorders>
            <w:vAlign w:val="center"/>
          </w:tcPr>
          <w:p w:rsidR="00B32B15" w:rsidRPr="00125018" w:rsidRDefault="00B32B15" w:rsidP="00D271A0">
            <w:pPr>
              <w:jc w:val="both"/>
            </w:pPr>
            <w:r w:rsidRPr="00125018">
              <w:t>Endeks</w:t>
            </w:r>
          </w:p>
        </w:tc>
        <w:tc>
          <w:tcPr>
            <w:tcW w:w="705" w:type="pct"/>
            <w:tcBorders>
              <w:left w:val="nil"/>
            </w:tcBorders>
            <w:vAlign w:val="center"/>
          </w:tcPr>
          <w:p w:rsidR="00B32B15" w:rsidRPr="00125018" w:rsidRDefault="00B32B15" w:rsidP="00D271A0">
            <w:pPr>
              <w:jc w:val="center"/>
            </w:pPr>
            <w:r w:rsidRPr="00125018">
              <w:t>100</w:t>
            </w:r>
          </w:p>
        </w:tc>
        <w:tc>
          <w:tcPr>
            <w:tcW w:w="705" w:type="pct"/>
            <w:vAlign w:val="center"/>
          </w:tcPr>
          <w:p w:rsidR="00B32B15" w:rsidRPr="00125018" w:rsidRDefault="00B32B15" w:rsidP="00D271A0">
            <w:pPr>
              <w:jc w:val="center"/>
            </w:pPr>
            <w:r w:rsidRPr="00125018">
              <w:t>108</w:t>
            </w:r>
          </w:p>
        </w:tc>
        <w:tc>
          <w:tcPr>
            <w:tcW w:w="706" w:type="pct"/>
            <w:vAlign w:val="center"/>
          </w:tcPr>
          <w:p w:rsidR="00B32B15" w:rsidRPr="00125018" w:rsidRDefault="00B32B15" w:rsidP="00D271A0">
            <w:pPr>
              <w:jc w:val="center"/>
            </w:pPr>
            <w:r w:rsidRPr="00125018">
              <w:t>124</w:t>
            </w:r>
          </w:p>
        </w:tc>
        <w:tc>
          <w:tcPr>
            <w:tcW w:w="705" w:type="pct"/>
            <w:vAlign w:val="center"/>
          </w:tcPr>
          <w:p w:rsidR="00B32B15" w:rsidRPr="00125018" w:rsidRDefault="00B32B15" w:rsidP="00D271A0">
            <w:pPr>
              <w:jc w:val="center"/>
            </w:pPr>
            <w:r w:rsidRPr="00125018">
              <w:t>120</w:t>
            </w:r>
          </w:p>
        </w:tc>
        <w:tc>
          <w:tcPr>
            <w:tcW w:w="706" w:type="pct"/>
            <w:vAlign w:val="center"/>
          </w:tcPr>
          <w:p w:rsidR="00B32B15" w:rsidRPr="00125018" w:rsidRDefault="00B32B15" w:rsidP="00D271A0">
            <w:pPr>
              <w:jc w:val="center"/>
            </w:pPr>
            <w:r w:rsidRPr="00125018">
              <w:t>141</w:t>
            </w:r>
          </w:p>
        </w:tc>
        <w:tc>
          <w:tcPr>
            <w:tcW w:w="706" w:type="pct"/>
            <w:vAlign w:val="center"/>
          </w:tcPr>
          <w:p w:rsidR="00B32B15" w:rsidRPr="000D7268" w:rsidRDefault="00B32B15" w:rsidP="00D271A0">
            <w:pPr>
              <w:jc w:val="center"/>
            </w:pPr>
            <w:r w:rsidRPr="000D7268">
              <w:t>169</w:t>
            </w:r>
          </w:p>
        </w:tc>
      </w:tr>
    </w:tbl>
    <w:p w:rsidR="00B32B15" w:rsidRDefault="00B32B15" w:rsidP="00B32B15">
      <w:pPr>
        <w:ind w:firstLine="708"/>
        <w:jc w:val="both"/>
      </w:pPr>
    </w:p>
    <w:p w:rsidR="00B32B15" w:rsidRDefault="00B32B15" w:rsidP="00B32B15">
      <w:pPr>
        <w:ind w:firstLine="708"/>
        <w:jc w:val="both"/>
      </w:pPr>
      <w:r w:rsidRPr="00125018">
        <w:t xml:space="preserve">Tüketim </w:t>
      </w:r>
      <w:r w:rsidR="00954407">
        <w:t xml:space="preserve">endeksi 2008-2010 </w:t>
      </w:r>
      <w:r w:rsidR="002330EA">
        <w:t xml:space="preserve">yılları arasında </w:t>
      </w:r>
      <w:r w:rsidR="00954407">
        <w:t xml:space="preserve">24 puan artmış, 2011 yılında </w:t>
      </w:r>
      <w:r w:rsidR="00F93A9F">
        <w:t>bir miktar düştükten sonra 2012-</w:t>
      </w:r>
      <w:r w:rsidR="00954407">
        <w:t xml:space="preserve">2013 </w:t>
      </w:r>
      <w:r w:rsidR="008C799E">
        <w:t xml:space="preserve">yıllarında </w:t>
      </w:r>
      <w:r w:rsidR="00F93A9F">
        <w:t>artış göstermiştir</w:t>
      </w:r>
      <w:r w:rsidRPr="00125018">
        <w:t xml:space="preserve">. </w:t>
      </w:r>
      <w:r>
        <w:t xml:space="preserve">2013 yılında </w:t>
      </w:r>
      <w:r w:rsidR="0010145E">
        <w:t>tüketim endeksinde</w:t>
      </w:r>
      <w:r w:rsidRPr="00125018">
        <w:t xml:space="preserve"> inceleme dönemi boyunca yaşanan en yüksek artış görülmüş </w:t>
      </w:r>
      <w:r>
        <w:t xml:space="preserve">ve </w:t>
      </w:r>
      <w:r w:rsidR="002330EA">
        <w:t xml:space="preserve">tüketim </w:t>
      </w:r>
      <w:r w:rsidRPr="00125018">
        <w:t>inceleme döneminin en yüksek değerine ulaş</w:t>
      </w:r>
      <w:r>
        <w:t>ıl</w:t>
      </w:r>
      <w:r w:rsidRPr="00125018">
        <w:t>mıştır. 2008-201</w:t>
      </w:r>
      <w:r>
        <w:t>3</w:t>
      </w:r>
      <w:r w:rsidRPr="00125018">
        <w:t xml:space="preserve"> yılları arasında tüketimde </w:t>
      </w:r>
      <w:r>
        <w:t>gerçekleşen artış ise toplam %69</w:t>
      </w:r>
      <w:r w:rsidR="002330EA">
        <w:t xml:space="preserve"> oranında olmuştur</w:t>
      </w:r>
      <w:r w:rsidRPr="00125018">
        <w:t xml:space="preserve">.  </w:t>
      </w:r>
    </w:p>
    <w:p w:rsidR="00B32B15" w:rsidRPr="00125018" w:rsidRDefault="00B32B15" w:rsidP="00B32B15">
      <w:pPr>
        <w:ind w:firstLine="708"/>
        <w:jc w:val="both"/>
      </w:pPr>
    </w:p>
    <w:p w:rsidR="00B32B15" w:rsidRDefault="00B32B15" w:rsidP="00B32B15">
      <w:pPr>
        <w:ind w:firstLine="708"/>
        <w:jc w:val="both"/>
      </w:pPr>
      <w:r w:rsidRPr="00125018">
        <w:t xml:space="preserve">Yerli üreticinin yurt içi satışlarının önemli oranda gerilediği ve üretimine ara vermek durumunda kaldığı 2012 </w:t>
      </w:r>
      <w:r>
        <w:t>ve 2013 yıllarında</w:t>
      </w:r>
      <w:r w:rsidRPr="00125018">
        <w:t xml:space="preserve"> yurt içi tüketimde buna neden olabilecek bir daralma yaşanmamıştır. </w:t>
      </w:r>
    </w:p>
    <w:p w:rsidR="00B32B15" w:rsidRDefault="00B32B15" w:rsidP="0071243E">
      <w:pPr>
        <w:pStyle w:val="Balk3"/>
      </w:pPr>
      <w:bookmarkStart w:id="123" w:name="_Toc384116985"/>
      <w:r w:rsidRPr="00125018">
        <w:t>Üretim</w:t>
      </w:r>
      <w:bookmarkEnd w:id="123"/>
      <w:r w:rsidRPr="00125018">
        <w:t xml:space="preserve"> </w:t>
      </w:r>
    </w:p>
    <w:tbl>
      <w:tblPr>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529"/>
        <w:gridCol w:w="1293"/>
        <w:gridCol w:w="1291"/>
        <w:gridCol w:w="1291"/>
        <w:gridCol w:w="1291"/>
        <w:gridCol w:w="1291"/>
        <w:gridCol w:w="1302"/>
      </w:tblGrid>
      <w:tr w:rsidR="004E0129" w:rsidRPr="005976C1" w:rsidTr="00265871">
        <w:trPr>
          <w:cantSplit/>
          <w:trHeight w:val="397"/>
          <w:tblHeader/>
        </w:trPr>
        <w:tc>
          <w:tcPr>
            <w:tcW w:w="823" w:type="pct"/>
            <w:tcBorders>
              <w:top w:val="double" w:sz="4" w:space="0" w:color="auto"/>
              <w:bottom w:val="nil"/>
              <w:right w:val="nil"/>
            </w:tcBorders>
            <w:vAlign w:val="center"/>
          </w:tcPr>
          <w:p w:rsidR="004E0129" w:rsidRPr="004E0129" w:rsidRDefault="004E0129" w:rsidP="00125018">
            <w:pPr>
              <w:jc w:val="both"/>
            </w:pPr>
            <w:r w:rsidRPr="004E0129">
              <w:t>Üretim</w:t>
            </w:r>
          </w:p>
        </w:tc>
        <w:tc>
          <w:tcPr>
            <w:tcW w:w="696" w:type="pct"/>
            <w:tcBorders>
              <w:top w:val="double" w:sz="4" w:space="0" w:color="auto"/>
              <w:left w:val="nil"/>
              <w:bottom w:val="nil"/>
            </w:tcBorders>
            <w:vAlign w:val="center"/>
          </w:tcPr>
          <w:p w:rsidR="004E0129" w:rsidRPr="004E0129" w:rsidRDefault="004E0129" w:rsidP="004E0129">
            <w:pPr>
              <w:jc w:val="center"/>
            </w:pPr>
            <w:r w:rsidRPr="004E0129">
              <w:t>2008</w:t>
            </w:r>
          </w:p>
        </w:tc>
        <w:tc>
          <w:tcPr>
            <w:tcW w:w="695" w:type="pct"/>
            <w:tcBorders>
              <w:top w:val="double" w:sz="4" w:space="0" w:color="auto"/>
              <w:bottom w:val="nil"/>
            </w:tcBorders>
            <w:vAlign w:val="center"/>
          </w:tcPr>
          <w:p w:rsidR="004E0129" w:rsidRPr="004E0129" w:rsidRDefault="004E0129" w:rsidP="004E0129">
            <w:pPr>
              <w:jc w:val="center"/>
            </w:pPr>
            <w:r w:rsidRPr="004E0129">
              <w:t>2009</w:t>
            </w:r>
          </w:p>
        </w:tc>
        <w:tc>
          <w:tcPr>
            <w:tcW w:w="695" w:type="pct"/>
            <w:tcBorders>
              <w:top w:val="double" w:sz="4" w:space="0" w:color="auto"/>
              <w:bottom w:val="nil"/>
            </w:tcBorders>
            <w:vAlign w:val="center"/>
          </w:tcPr>
          <w:p w:rsidR="004E0129" w:rsidRPr="004E0129" w:rsidRDefault="004E0129" w:rsidP="004E0129">
            <w:pPr>
              <w:jc w:val="center"/>
            </w:pPr>
            <w:r w:rsidRPr="004E0129">
              <w:t>2010</w:t>
            </w:r>
          </w:p>
        </w:tc>
        <w:tc>
          <w:tcPr>
            <w:tcW w:w="695" w:type="pct"/>
            <w:tcBorders>
              <w:top w:val="double" w:sz="4" w:space="0" w:color="auto"/>
              <w:bottom w:val="nil"/>
            </w:tcBorders>
            <w:vAlign w:val="center"/>
          </w:tcPr>
          <w:p w:rsidR="004E0129" w:rsidRPr="004E0129" w:rsidRDefault="004E0129" w:rsidP="004E0129">
            <w:pPr>
              <w:jc w:val="center"/>
            </w:pPr>
            <w:r w:rsidRPr="004E0129">
              <w:t>2011</w:t>
            </w:r>
          </w:p>
        </w:tc>
        <w:tc>
          <w:tcPr>
            <w:tcW w:w="695" w:type="pct"/>
            <w:tcBorders>
              <w:top w:val="double" w:sz="4" w:space="0" w:color="auto"/>
              <w:bottom w:val="nil"/>
              <w:right w:val="nil"/>
            </w:tcBorders>
            <w:vAlign w:val="center"/>
          </w:tcPr>
          <w:p w:rsidR="004E0129" w:rsidRPr="004E0129" w:rsidRDefault="004E0129" w:rsidP="004E0129">
            <w:pPr>
              <w:jc w:val="center"/>
            </w:pPr>
            <w:r w:rsidRPr="004E0129">
              <w:t>2012</w:t>
            </w:r>
          </w:p>
        </w:tc>
        <w:tc>
          <w:tcPr>
            <w:tcW w:w="701" w:type="pct"/>
            <w:tcBorders>
              <w:top w:val="double" w:sz="4" w:space="0" w:color="auto"/>
              <w:left w:val="nil"/>
              <w:bottom w:val="nil"/>
              <w:right w:val="double" w:sz="4" w:space="0" w:color="auto"/>
            </w:tcBorders>
            <w:vAlign w:val="center"/>
          </w:tcPr>
          <w:p w:rsidR="004E0129" w:rsidRPr="004E0129" w:rsidRDefault="004E0129" w:rsidP="004E0129">
            <w:pPr>
              <w:jc w:val="center"/>
            </w:pPr>
            <w:r w:rsidRPr="004E0129">
              <w:t>2013</w:t>
            </w:r>
          </w:p>
        </w:tc>
      </w:tr>
      <w:tr w:rsidR="004E0129" w:rsidRPr="005976C1" w:rsidTr="00265871">
        <w:trPr>
          <w:cantSplit/>
          <w:trHeight w:val="397"/>
        </w:trPr>
        <w:tc>
          <w:tcPr>
            <w:tcW w:w="823" w:type="pct"/>
            <w:tcBorders>
              <w:top w:val="nil"/>
              <w:bottom w:val="nil"/>
              <w:right w:val="nil"/>
            </w:tcBorders>
            <w:vAlign w:val="center"/>
          </w:tcPr>
          <w:p w:rsidR="004E0129" w:rsidRPr="004E0129" w:rsidRDefault="004E0129" w:rsidP="00125018">
            <w:pPr>
              <w:jc w:val="both"/>
            </w:pPr>
            <w:r w:rsidRPr="004E0129">
              <w:t>Miktar (Ton)</w:t>
            </w:r>
          </w:p>
        </w:tc>
        <w:tc>
          <w:tcPr>
            <w:tcW w:w="696" w:type="pct"/>
            <w:tcBorders>
              <w:top w:val="nil"/>
              <w:left w:val="nil"/>
              <w:bottom w:val="nil"/>
            </w:tcBorders>
            <w:vAlign w:val="center"/>
          </w:tcPr>
          <w:p w:rsidR="004E0129" w:rsidRPr="004E0129" w:rsidRDefault="004E0129" w:rsidP="004E0129">
            <w:pPr>
              <w:jc w:val="center"/>
              <w:rPr>
                <w:rFonts w:eastAsia="Arial Unicode MS"/>
              </w:rPr>
            </w:pPr>
            <w:r w:rsidRPr="004E0129">
              <w:rPr>
                <w:rFonts w:eastAsia="Arial Unicode MS"/>
              </w:rPr>
              <w:t>42.303</w:t>
            </w:r>
          </w:p>
        </w:tc>
        <w:tc>
          <w:tcPr>
            <w:tcW w:w="695" w:type="pct"/>
            <w:tcBorders>
              <w:top w:val="nil"/>
              <w:bottom w:val="nil"/>
            </w:tcBorders>
            <w:vAlign w:val="center"/>
          </w:tcPr>
          <w:p w:rsidR="004E0129" w:rsidRPr="004E0129" w:rsidRDefault="004E0129" w:rsidP="004E0129">
            <w:pPr>
              <w:jc w:val="center"/>
              <w:rPr>
                <w:rFonts w:eastAsia="Arial Unicode MS"/>
              </w:rPr>
            </w:pPr>
            <w:r w:rsidRPr="004E0129">
              <w:rPr>
                <w:rFonts w:eastAsia="Arial Unicode MS"/>
              </w:rPr>
              <w:t>60.207</w:t>
            </w:r>
          </w:p>
        </w:tc>
        <w:tc>
          <w:tcPr>
            <w:tcW w:w="695" w:type="pct"/>
            <w:tcBorders>
              <w:top w:val="nil"/>
              <w:bottom w:val="nil"/>
            </w:tcBorders>
            <w:vAlign w:val="center"/>
          </w:tcPr>
          <w:p w:rsidR="004E0129" w:rsidRPr="004E0129" w:rsidRDefault="004E0129" w:rsidP="004E0129">
            <w:pPr>
              <w:jc w:val="center"/>
              <w:rPr>
                <w:rFonts w:eastAsia="Arial Unicode MS"/>
              </w:rPr>
            </w:pPr>
            <w:r w:rsidRPr="004E0129">
              <w:rPr>
                <w:rFonts w:eastAsia="Arial Unicode MS"/>
              </w:rPr>
              <w:t>73.668</w:t>
            </w:r>
          </w:p>
        </w:tc>
        <w:tc>
          <w:tcPr>
            <w:tcW w:w="695" w:type="pct"/>
            <w:tcBorders>
              <w:top w:val="nil"/>
              <w:bottom w:val="nil"/>
            </w:tcBorders>
            <w:vAlign w:val="center"/>
          </w:tcPr>
          <w:p w:rsidR="004E0129" w:rsidRPr="004E0129" w:rsidRDefault="004E0129" w:rsidP="004E0129">
            <w:pPr>
              <w:jc w:val="center"/>
              <w:rPr>
                <w:rFonts w:eastAsia="Arial Unicode MS"/>
              </w:rPr>
            </w:pPr>
            <w:r w:rsidRPr="004E0129">
              <w:rPr>
                <w:rFonts w:eastAsia="Arial Unicode MS"/>
              </w:rPr>
              <w:t>60.269</w:t>
            </w:r>
          </w:p>
        </w:tc>
        <w:tc>
          <w:tcPr>
            <w:tcW w:w="695" w:type="pct"/>
            <w:tcBorders>
              <w:top w:val="nil"/>
              <w:bottom w:val="nil"/>
              <w:right w:val="nil"/>
            </w:tcBorders>
            <w:vAlign w:val="center"/>
          </w:tcPr>
          <w:p w:rsidR="004E0129" w:rsidRPr="004E0129" w:rsidRDefault="004E0129" w:rsidP="004E0129">
            <w:pPr>
              <w:jc w:val="center"/>
              <w:rPr>
                <w:rFonts w:eastAsia="Arial Unicode MS"/>
              </w:rPr>
            </w:pPr>
            <w:r w:rsidRPr="004E0129">
              <w:rPr>
                <w:rFonts w:eastAsia="Arial Unicode MS"/>
              </w:rPr>
              <w:t>28.645</w:t>
            </w:r>
          </w:p>
        </w:tc>
        <w:tc>
          <w:tcPr>
            <w:tcW w:w="701" w:type="pct"/>
            <w:tcBorders>
              <w:top w:val="nil"/>
              <w:left w:val="nil"/>
              <w:bottom w:val="nil"/>
              <w:right w:val="double" w:sz="4" w:space="0" w:color="auto"/>
            </w:tcBorders>
            <w:vAlign w:val="center"/>
          </w:tcPr>
          <w:p w:rsidR="004E0129" w:rsidRPr="004E0129" w:rsidRDefault="004E0129" w:rsidP="004E0129">
            <w:pPr>
              <w:jc w:val="center"/>
            </w:pPr>
            <w:r w:rsidRPr="004E0129">
              <w:t>28.112</w:t>
            </w:r>
          </w:p>
        </w:tc>
      </w:tr>
      <w:tr w:rsidR="004E0129" w:rsidRPr="005976C1" w:rsidTr="00265871">
        <w:trPr>
          <w:cantSplit/>
          <w:trHeight w:val="397"/>
        </w:trPr>
        <w:tc>
          <w:tcPr>
            <w:tcW w:w="823" w:type="pct"/>
            <w:tcBorders>
              <w:top w:val="nil"/>
              <w:bottom w:val="double" w:sz="4" w:space="0" w:color="auto"/>
              <w:right w:val="nil"/>
            </w:tcBorders>
            <w:vAlign w:val="center"/>
          </w:tcPr>
          <w:p w:rsidR="004E0129" w:rsidRPr="004E0129" w:rsidRDefault="004E0129" w:rsidP="00125018">
            <w:pPr>
              <w:jc w:val="both"/>
            </w:pPr>
            <w:r w:rsidRPr="004E0129">
              <w:t>Değişim (%)</w:t>
            </w:r>
          </w:p>
        </w:tc>
        <w:tc>
          <w:tcPr>
            <w:tcW w:w="696" w:type="pct"/>
            <w:tcBorders>
              <w:top w:val="nil"/>
              <w:left w:val="nil"/>
              <w:bottom w:val="double" w:sz="4" w:space="0" w:color="auto"/>
            </w:tcBorders>
            <w:vAlign w:val="center"/>
          </w:tcPr>
          <w:p w:rsidR="004E0129" w:rsidRPr="004E0129" w:rsidRDefault="004E0129" w:rsidP="004E0129">
            <w:pPr>
              <w:jc w:val="center"/>
            </w:pPr>
            <w:r w:rsidRPr="004E0129">
              <w:t>-</w:t>
            </w:r>
          </w:p>
        </w:tc>
        <w:tc>
          <w:tcPr>
            <w:tcW w:w="695" w:type="pct"/>
            <w:tcBorders>
              <w:top w:val="nil"/>
              <w:bottom w:val="double" w:sz="4" w:space="0" w:color="auto"/>
            </w:tcBorders>
            <w:vAlign w:val="center"/>
          </w:tcPr>
          <w:p w:rsidR="004E0129" w:rsidRPr="004E0129" w:rsidRDefault="004E0129" w:rsidP="004E0129">
            <w:pPr>
              <w:jc w:val="center"/>
            </w:pPr>
            <w:r w:rsidRPr="004E0129">
              <w:t>42</w:t>
            </w:r>
          </w:p>
        </w:tc>
        <w:tc>
          <w:tcPr>
            <w:tcW w:w="695" w:type="pct"/>
            <w:tcBorders>
              <w:top w:val="nil"/>
              <w:bottom w:val="double" w:sz="4" w:space="0" w:color="auto"/>
            </w:tcBorders>
            <w:vAlign w:val="center"/>
          </w:tcPr>
          <w:p w:rsidR="004E0129" w:rsidRPr="004E0129" w:rsidRDefault="004E0129" w:rsidP="004E0129">
            <w:pPr>
              <w:jc w:val="center"/>
            </w:pPr>
            <w:r w:rsidRPr="004E0129">
              <w:t>22</w:t>
            </w:r>
          </w:p>
        </w:tc>
        <w:tc>
          <w:tcPr>
            <w:tcW w:w="695" w:type="pct"/>
            <w:tcBorders>
              <w:top w:val="nil"/>
              <w:bottom w:val="double" w:sz="4" w:space="0" w:color="auto"/>
            </w:tcBorders>
            <w:vAlign w:val="center"/>
          </w:tcPr>
          <w:p w:rsidR="004E0129" w:rsidRPr="004E0129" w:rsidRDefault="004E0129" w:rsidP="004E0129">
            <w:pPr>
              <w:jc w:val="center"/>
            </w:pPr>
            <w:r w:rsidRPr="004E0129">
              <w:t>-18</w:t>
            </w:r>
          </w:p>
        </w:tc>
        <w:tc>
          <w:tcPr>
            <w:tcW w:w="695" w:type="pct"/>
            <w:tcBorders>
              <w:top w:val="nil"/>
              <w:bottom w:val="double" w:sz="4" w:space="0" w:color="auto"/>
              <w:right w:val="nil"/>
            </w:tcBorders>
            <w:vAlign w:val="center"/>
          </w:tcPr>
          <w:p w:rsidR="004E0129" w:rsidRPr="004E0129" w:rsidRDefault="004E0129" w:rsidP="004E0129">
            <w:pPr>
              <w:jc w:val="center"/>
            </w:pPr>
            <w:r w:rsidRPr="004E0129">
              <w:t>-52</w:t>
            </w:r>
          </w:p>
        </w:tc>
        <w:tc>
          <w:tcPr>
            <w:tcW w:w="701" w:type="pct"/>
            <w:tcBorders>
              <w:top w:val="nil"/>
              <w:left w:val="nil"/>
              <w:bottom w:val="double" w:sz="4" w:space="0" w:color="auto"/>
              <w:right w:val="double" w:sz="4" w:space="0" w:color="auto"/>
            </w:tcBorders>
            <w:vAlign w:val="center"/>
          </w:tcPr>
          <w:p w:rsidR="004E0129" w:rsidRPr="004E0129" w:rsidRDefault="004E0129" w:rsidP="004E0129">
            <w:pPr>
              <w:jc w:val="center"/>
              <w:rPr>
                <w:rFonts w:ascii="Calibri" w:hAnsi="Calibri"/>
                <w:color w:val="000000"/>
              </w:rPr>
            </w:pPr>
            <w:r w:rsidRPr="004E0129">
              <w:rPr>
                <w:rFonts w:ascii="Calibri" w:hAnsi="Calibri"/>
                <w:color w:val="000000"/>
              </w:rPr>
              <w:t>-2</w:t>
            </w:r>
          </w:p>
        </w:tc>
      </w:tr>
    </w:tbl>
    <w:p w:rsidR="00F05C7E" w:rsidRDefault="00F05C7E" w:rsidP="00125018">
      <w:pPr>
        <w:jc w:val="both"/>
      </w:pPr>
    </w:p>
    <w:p w:rsidR="004328B1" w:rsidRDefault="00F512E6" w:rsidP="00F05C7E">
      <w:pPr>
        <w:ind w:firstLine="708"/>
        <w:jc w:val="both"/>
      </w:pPr>
      <w:r w:rsidRPr="00125018">
        <w:lastRenderedPageBreak/>
        <w:t>2008</w:t>
      </w:r>
      <w:r w:rsidR="004328B1" w:rsidRPr="00125018">
        <w:t xml:space="preserve"> yılında </w:t>
      </w:r>
      <w:r w:rsidRPr="00125018">
        <w:t xml:space="preserve">42 bin ton </w:t>
      </w:r>
      <w:r w:rsidR="004328B1" w:rsidRPr="00125018">
        <w:t>düzeyinde gerçekleşen soruşt</w:t>
      </w:r>
      <w:r w:rsidRPr="00125018">
        <w:t xml:space="preserve">urma konusu ürünün üretimi, 2009 ve 2010 yıllarında sırasıyla %42 ve %22 oranında artmıştır. 2011 yılında üretim %18 oranında düşmüştür. 2012 yılında ise üretimdeki düşüş %52 oranında gerçekleşmiştir. </w:t>
      </w:r>
      <w:r w:rsidR="004328B1" w:rsidRPr="00125018">
        <w:t xml:space="preserve">Başvuru sahibi </w:t>
      </w:r>
      <w:r w:rsidRPr="00125018">
        <w:t>firma, 2012</w:t>
      </w:r>
      <w:r w:rsidR="004328B1" w:rsidRPr="00125018">
        <w:t xml:space="preserve"> yılının</w:t>
      </w:r>
      <w:r w:rsidRPr="00125018">
        <w:t xml:space="preserve"> Ekim ayında üretim faaliyetini durdurmuş ve </w:t>
      </w:r>
      <w:r w:rsidR="00F93A9F">
        <w:t xml:space="preserve">o </w:t>
      </w:r>
      <w:r w:rsidR="00E46E7E" w:rsidRPr="00125018">
        <w:t>yıl</w:t>
      </w:r>
      <w:r w:rsidR="00F93A9F">
        <w:t>ın</w:t>
      </w:r>
      <w:r w:rsidR="0062750F">
        <w:t xml:space="preserve"> </w:t>
      </w:r>
      <w:r w:rsidR="00E46E7E" w:rsidRPr="00125018">
        <w:t>sonuna</w:t>
      </w:r>
      <w:r w:rsidRPr="00125018">
        <w:t xml:space="preserve"> kadar üretim yapmamıştır. </w:t>
      </w:r>
      <w:r w:rsidR="004C4AEC">
        <w:t xml:space="preserve">Üretim 2013 yılında da 2012’deki seviyeye paralel </w:t>
      </w:r>
      <w:r w:rsidR="0091288F">
        <w:t xml:space="preserve">bir seyir izlemiştir. </w:t>
      </w:r>
      <w:r w:rsidR="004C4AEC">
        <w:t>PTA fabrikası yılın büyük bölümünde atıl kalmış, üretim ise %2 oranında gerileyerek 28.112 ton olarak gerçekleşmiştir.</w:t>
      </w:r>
    </w:p>
    <w:p w:rsidR="004328B1" w:rsidRPr="00125018" w:rsidRDefault="004328B1" w:rsidP="0071243E">
      <w:pPr>
        <w:pStyle w:val="Balk3"/>
      </w:pPr>
      <w:bookmarkStart w:id="124" w:name="_Toc384116986"/>
      <w:r w:rsidRPr="00125018">
        <w:t xml:space="preserve">Yurt </w:t>
      </w:r>
      <w:r w:rsidR="00C42474" w:rsidRPr="00125018">
        <w:t>içi satışlar</w:t>
      </w:r>
      <w:bookmarkEnd w:id="124"/>
    </w:p>
    <w:tbl>
      <w:tblPr>
        <w:tblW w:w="4942"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837"/>
        <w:gridCol w:w="1259"/>
        <w:gridCol w:w="1258"/>
        <w:gridCol w:w="1258"/>
        <w:gridCol w:w="1258"/>
        <w:gridCol w:w="1155"/>
        <w:gridCol w:w="1155"/>
      </w:tblGrid>
      <w:tr w:rsidR="00825136" w:rsidRPr="00125018" w:rsidTr="00A83B7B">
        <w:trPr>
          <w:cantSplit/>
          <w:trHeight w:val="397"/>
          <w:tblHeader/>
        </w:trPr>
        <w:tc>
          <w:tcPr>
            <w:tcW w:w="1001" w:type="pct"/>
            <w:tcBorders>
              <w:top w:val="double" w:sz="4" w:space="0" w:color="auto"/>
              <w:bottom w:val="nil"/>
              <w:right w:val="nil"/>
            </w:tcBorders>
            <w:vAlign w:val="center"/>
          </w:tcPr>
          <w:p w:rsidR="00825136" w:rsidRPr="00125018" w:rsidRDefault="00825136" w:rsidP="00125018">
            <w:pPr>
              <w:jc w:val="both"/>
            </w:pPr>
            <w:r w:rsidRPr="00125018">
              <w:t>Yurt içi Satışlar</w:t>
            </w:r>
          </w:p>
        </w:tc>
        <w:tc>
          <w:tcPr>
            <w:tcW w:w="686" w:type="pct"/>
            <w:tcBorders>
              <w:top w:val="double" w:sz="4" w:space="0" w:color="auto"/>
              <w:left w:val="nil"/>
              <w:bottom w:val="nil"/>
            </w:tcBorders>
            <w:vAlign w:val="center"/>
          </w:tcPr>
          <w:p w:rsidR="00825136" w:rsidRPr="00125018" w:rsidRDefault="00825136" w:rsidP="003705F5">
            <w:pPr>
              <w:jc w:val="center"/>
            </w:pPr>
            <w:r w:rsidRPr="00125018">
              <w:t>2008</w:t>
            </w:r>
          </w:p>
        </w:tc>
        <w:tc>
          <w:tcPr>
            <w:tcW w:w="685" w:type="pct"/>
            <w:tcBorders>
              <w:top w:val="double" w:sz="4" w:space="0" w:color="auto"/>
              <w:bottom w:val="nil"/>
            </w:tcBorders>
            <w:vAlign w:val="center"/>
          </w:tcPr>
          <w:p w:rsidR="00825136" w:rsidRPr="00125018" w:rsidRDefault="00825136" w:rsidP="003705F5">
            <w:pPr>
              <w:jc w:val="center"/>
            </w:pPr>
            <w:r w:rsidRPr="00125018">
              <w:t>2009</w:t>
            </w:r>
          </w:p>
        </w:tc>
        <w:tc>
          <w:tcPr>
            <w:tcW w:w="685" w:type="pct"/>
            <w:tcBorders>
              <w:top w:val="double" w:sz="4" w:space="0" w:color="auto"/>
              <w:bottom w:val="nil"/>
            </w:tcBorders>
            <w:vAlign w:val="center"/>
          </w:tcPr>
          <w:p w:rsidR="00825136" w:rsidRPr="00125018" w:rsidRDefault="00825136" w:rsidP="003705F5">
            <w:pPr>
              <w:jc w:val="center"/>
            </w:pPr>
            <w:r w:rsidRPr="00125018">
              <w:t>2010</w:t>
            </w:r>
          </w:p>
        </w:tc>
        <w:tc>
          <w:tcPr>
            <w:tcW w:w="685" w:type="pct"/>
            <w:tcBorders>
              <w:top w:val="double" w:sz="4" w:space="0" w:color="auto"/>
              <w:bottom w:val="nil"/>
            </w:tcBorders>
            <w:vAlign w:val="center"/>
          </w:tcPr>
          <w:p w:rsidR="00825136" w:rsidRPr="00125018" w:rsidRDefault="00825136" w:rsidP="003705F5">
            <w:pPr>
              <w:jc w:val="center"/>
            </w:pPr>
            <w:r w:rsidRPr="00125018">
              <w:t>2011</w:t>
            </w:r>
          </w:p>
        </w:tc>
        <w:tc>
          <w:tcPr>
            <w:tcW w:w="629" w:type="pct"/>
            <w:tcBorders>
              <w:top w:val="double" w:sz="4" w:space="0" w:color="auto"/>
              <w:bottom w:val="nil"/>
            </w:tcBorders>
            <w:vAlign w:val="center"/>
          </w:tcPr>
          <w:p w:rsidR="00825136" w:rsidRPr="00125018" w:rsidRDefault="00825136" w:rsidP="00B17FE9">
            <w:pPr>
              <w:jc w:val="center"/>
            </w:pPr>
            <w:r w:rsidRPr="00125018">
              <w:t>2012</w:t>
            </w:r>
          </w:p>
        </w:tc>
        <w:tc>
          <w:tcPr>
            <w:tcW w:w="629" w:type="pct"/>
            <w:tcBorders>
              <w:top w:val="double" w:sz="4" w:space="0" w:color="auto"/>
              <w:bottom w:val="nil"/>
            </w:tcBorders>
            <w:vAlign w:val="center"/>
          </w:tcPr>
          <w:p w:rsidR="00825136" w:rsidRPr="00125018" w:rsidRDefault="00825136" w:rsidP="00825136">
            <w:pPr>
              <w:jc w:val="center"/>
            </w:pPr>
            <w:r>
              <w:t>2013</w:t>
            </w:r>
          </w:p>
        </w:tc>
      </w:tr>
      <w:tr w:rsidR="00825136" w:rsidRPr="00125018" w:rsidTr="00A83B7B">
        <w:trPr>
          <w:cantSplit/>
          <w:trHeight w:val="397"/>
        </w:trPr>
        <w:tc>
          <w:tcPr>
            <w:tcW w:w="1001" w:type="pct"/>
            <w:tcBorders>
              <w:top w:val="nil"/>
              <w:bottom w:val="double" w:sz="4" w:space="0" w:color="auto"/>
              <w:right w:val="nil"/>
            </w:tcBorders>
            <w:vAlign w:val="center"/>
          </w:tcPr>
          <w:p w:rsidR="00825136" w:rsidRPr="00125018" w:rsidRDefault="00825136" w:rsidP="00125018">
            <w:pPr>
              <w:jc w:val="both"/>
            </w:pPr>
            <w:r w:rsidRPr="00125018">
              <w:t>Endeks</w:t>
            </w:r>
          </w:p>
        </w:tc>
        <w:tc>
          <w:tcPr>
            <w:tcW w:w="686" w:type="pct"/>
            <w:tcBorders>
              <w:left w:val="nil"/>
            </w:tcBorders>
            <w:vAlign w:val="center"/>
          </w:tcPr>
          <w:p w:rsidR="00825136" w:rsidRPr="00125018" w:rsidRDefault="00825136" w:rsidP="003705F5">
            <w:pPr>
              <w:jc w:val="center"/>
              <w:rPr>
                <w:rFonts w:eastAsia="Arial Unicode MS"/>
              </w:rPr>
            </w:pPr>
            <w:r w:rsidRPr="00125018">
              <w:rPr>
                <w:rFonts w:eastAsia="Arial Unicode MS"/>
              </w:rPr>
              <w:t>100</w:t>
            </w:r>
          </w:p>
        </w:tc>
        <w:tc>
          <w:tcPr>
            <w:tcW w:w="685" w:type="pct"/>
            <w:vAlign w:val="center"/>
          </w:tcPr>
          <w:p w:rsidR="00825136" w:rsidRPr="00125018" w:rsidRDefault="00825136" w:rsidP="003705F5">
            <w:pPr>
              <w:jc w:val="center"/>
              <w:rPr>
                <w:rFonts w:eastAsia="Arial Unicode MS"/>
              </w:rPr>
            </w:pPr>
            <w:r w:rsidRPr="00125018">
              <w:rPr>
                <w:rFonts w:eastAsia="Arial Unicode MS"/>
              </w:rPr>
              <w:t>92</w:t>
            </w:r>
          </w:p>
        </w:tc>
        <w:tc>
          <w:tcPr>
            <w:tcW w:w="685" w:type="pct"/>
            <w:vAlign w:val="center"/>
          </w:tcPr>
          <w:p w:rsidR="00825136" w:rsidRPr="00125018" w:rsidRDefault="00825136" w:rsidP="003705F5">
            <w:pPr>
              <w:jc w:val="center"/>
              <w:rPr>
                <w:rFonts w:eastAsia="Arial Unicode MS"/>
              </w:rPr>
            </w:pPr>
            <w:r w:rsidRPr="00125018">
              <w:rPr>
                <w:rFonts w:eastAsia="Arial Unicode MS"/>
              </w:rPr>
              <w:t>154</w:t>
            </w:r>
          </w:p>
        </w:tc>
        <w:tc>
          <w:tcPr>
            <w:tcW w:w="685" w:type="pct"/>
            <w:vAlign w:val="center"/>
          </w:tcPr>
          <w:p w:rsidR="00825136" w:rsidRPr="00125018" w:rsidRDefault="00825136" w:rsidP="003705F5">
            <w:pPr>
              <w:jc w:val="center"/>
              <w:rPr>
                <w:rFonts w:eastAsia="Arial Unicode MS"/>
              </w:rPr>
            </w:pPr>
            <w:r w:rsidRPr="00125018">
              <w:rPr>
                <w:rFonts w:eastAsia="Arial Unicode MS"/>
              </w:rPr>
              <w:t>109</w:t>
            </w:r>
          </w:p>
        </w:tc>
        <w:tc>
          <w:tcPr>
            <w:tcW w:w="629" w:type="pct"/>
            <w:vAlign w:val="center"/>
          </w:tcPr>
          <w:p w:rsidR="00825136" w:rsidRPr="00125018" w:rsidRDefault="00825136" w:rsidP="00B17FE9">
            <w:pPr>
              <w:jc w:val="center"/>
              <w:rPr>
                <w:rFonts w:eastAsia="Arial Unicode MS"/>
              </w:rPr>
            </w:pPr>
            <w:r w:rsidRPr="00125018">
              <w:rPr>
                <w:rFonts w:eastAsia="Arial Unicode MS"/>
              </w:rPr>
              <w:t>68</w:t>
            </w:r>
          </w:p>
        </w:tc>
        <w:tc>
          <w:tcPr>
            <w:tcW w:w="629" w:type="pct"/>
            <w:vAlign w:val="center"/>
          </w:tcPr>
          <w:p w:rsidR="00825136" w:rsidRPr="00825136" w:rsidRDefault="00825136" w:rsidP="00825136">
            <w:pPr>
              <w:jc w:val="center"/>
              <w:rPr>
                <w:rFonts w:eastAsia="Arial Unicode MS"/>
              </w:rPr>
            </w:pPr>
            <w:r w:rsidRPr="00825136">
              <w:rPr>
                <w:rFonts w:eastAsia="Arial Unicode MS"/>
              </w:rPr>
              <w:t>54</w:t>
            </w:r>
          </w:p>
        </w:tc>
      </w:tr>
    </w:tbl>
    <w:p w:rsidR="00F05C7E" w:rsidRDefault="00F05C7E" w:rsidP="00125018">
      <w:pPr>
        <w:jc w:val="both"/>
      </w:pPr>
    </w:p>
    <w:p w:rsidR="004328B1" w:rsidRDefault="004328B1" w:rsidP="00F05C7E">
      <w:pPr>
        <w:ind w:firstLine="708"/>
        <w:jc w:val="both"/>
      </w:pPr>
      <w:r w:rsidRPr="00125018">
        <w:t>Yerli ür</w:t>
      </w:r>
      <w:r w:rsidR="002330EA">
        <w:t>eticinin yurt içi satış</w:t>
      </w:r>
      <w:r w:rsidR="0010145E">
        <w:t xml:space="preserve"> endeksi</w:t>
      </w:r>
      <w:r w:rsidRPr="00125018">
        <w:t xml:space="preserve"> 200</w:t>
      </w:r>
      <w:r w:rsidR="00E46E7E" w:rsidRPr="00125018">
        <w:t>9</w:t>
      </w:r>
      <w:r w:rsidRPr="00125018">
        <w:t xml:space="preserve"> yılında </w:t>
      </w:r>
      <w:r w:rsidR="008F7904">
        <w:t xml:space="preserve">2008’e göre </w:t>
      </w:r>
      <w:r w:rsidR="00E46E7E" w:rsidRPr="00125018">
        <w:t>8</w:t>
      </w:r>
      <w:r w:rsidRPr="00125018">
        <w:t xml:space="preserve"> </w:t>
      </w:r>
      <w:r w:rsidR="000707CB">
        <w:t>puan</w:t>
      </w:r>
      <w:r w:rsidRPr="00125018">
        <w:t xml:space="preserve"> </w:t>
      </w:r>
      <w:r w:rsidR="00E46E7E" w:rsidRPr="00125018">
        <w:t>düşüş</w:t>
      </w:r>
      <w:r w:rsidRPr="00125018">
        <w:t xml:space="preserve"> kaydetmiştir. </w:t>
      </w:r>
      <w:r w:rsidR="00E46E7E" w:rsidRPr="00125018">
        <w:t xml:space="preserve">2010 yılında </w:t>
      </w:r>
      <w:r w:rsidR="000707CB">
        <w:t xml:space="preserve">ise </w:t>
      </w:r>
      <w:r w:rsidR="008F7904">
        <w:t>62 puan artarak</w:t>
      </w:r>
      <w:r w:rsidR="00E46E7E" w:rsidRPr="00125018">
        <w:t xml:space="preserve"> </w:t>
      </w:r>
      <w:r w:rsidR="000707CB">
        <w:t xml:space="preserve">inceleme döneminin en yüksek seviyesine ulaşmış, </w:t>
      </w:r>
      <w:r w:rsidR="00E46E7E" w:rsidRPr="00125018">
        <w:t>2011 yılı itibariyle tekrar düşüş sürecine girmiştir.</w:t>
      </w:r>
      <w:r w:rsidRPr="00125018">
        <w:t xml:space="preserve"> </w:t>
      </w:r>
      <w:r w:rsidR="004C4AEC">
        <w:t>2011</w:t>
      </w:r>
      <w:r w:rsidR="000707CB">
        <w:t>-2013 yıllarında</w:t>
      </w:r>
      <w:r w:rsidR="0010145E">
        <w:t xml:space="preserve"> gerileyen yurt içi satış endeksi</w:t>
      </w:r>
      <w:r w:rsidR="00E46E7E" w:rsidRPr="00125018">
        <w:t xml:space="preserve"> </w:t>
      </w:r>
      <w:r w:rsidR="000707CB">
        <w:t xml:space="preserve">2013 </w:t>
      </w:r>
      <w:r w:rsidR="002330EA">
        <w:t xml:space="preserve">yılında </w:t>
      </w:r>
      <w:r w:rsidR="000707CB">
        <w:t>i</w:t>
      </w:r>
      <w:r w:rsidR="00E46E7E" w:rsidRPr="00125018">
        <w:t>nceleme döneminde</w:t>
      </w:r>
      <w:r w:rsidR="002330EA">
        <w:t>ki</w:t>
      </w:r>
      <w:r w:rsidR="00E46E7E" w:rsidRPr="00125018">
        <w:t xml:space="preserve"> en düşük de</w:t>
      </w:r>
      <w:r w:rsidR="004C4AEC">
        <w:t>ğer</w:t>
      </w:r>
      <w:r w:rsidR="002330EA">
        <w:t>in</w:t>
      </w:r>
      <w:r w:rsidR="000707CB">
        <w:t>e ulaşmış olup bu seviye</w:t>
      </w:r>
      <w:r w:rsidR="004C4AEC">
        <w:t xml:space="preserve"> 2008 yılındaki seviyenin %54’ü</w:t>
      </w:r>
      <w:r w:rsidR="00E46E7E" w:rsidRPr="00125018">
        <w:t xml:space="preserve">ne tekabül etmektedir.  </w:t>
      </w:r>
    </w:p>
    <w:p w:rsidR="004328B1" w:rsidRPr="00125018" w:rsidRDefault="004328B1" w:rsidP="0071243E">
      <w:pPr>
        <w:pStyle w:val="Balk3"/>
      </w:pPr>
      <w:bookmarkStart w:id="125" w:name="_Toc384116987"/>
      <w:r w:rsidRPr="00125018">
        <w:t xml:space="preserve">Kapasite ve </w:t>
      </w:r>
      <w:r w:rsidR="00C42474" w:rsidRPr="00125018">
        <w:t>kapasite kullanım oranı</w:t>
      </w:r>
      <w:bookmarkEnd w:id="125"/>
    </w:p>
    <w:tbl>
      <w:tblPr>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084"/>
        <w:gridCol w:w="1033"/>
        <w:gridCol w:w="1035"/>
        <w:gridCol w:w="1035"/>
        <w:gridCol w:w="1033"/>
        <w:gridCol w:w="1035"/>
        <w:gridCol w:w="1033"/>
      </w:tblGrid>
      <w:tr w:rsidR="008F7904" w:rsidRPr="00125018" w:rsidTr="008F7904">
        <w:trPr>
          <w:cantSplit/>
          <w:trHeight w:val="397"/>
          <w:tblHeader/>
        </w:trPr>
        <w:tc>
          <w:tcPr>
            <w:tcW w:w="1661" w:type="pct"/>
            <w:tcBorders>
              <w:top w:val="double" w:sz="4" w:space="0" w:color="auto"/>
              <w:bottom w:val="nil"/>
              <w:right w:val="nil"/>
            </w:tcBorders>
            <w:vAlign w:val="center"/>
          </w:tcPr>
          <w:p w:rsidR="00825136" w:rsidRPr="00125018" w:rsidRDefault="00825136" w:rsidP="00125018">
            <w:pPr>
              <w:jc w:val="both"/>
            </w:pPr>
            <w:r w:rsidRPr="00125018">
              <w:t>Kapasite</w:t>
            </w:r>
          </w:p>
        </w:tc>
        <w:tc>
          <w:tcPr>
            <w:tcW w:w="556" w:type="pct"/>
            <w:tcBorders>
              <w:top w:val="double" w:sz="4" w:space="0" w:color="auto"/>
              <w:left w:val="nil"/>
              <w:bottom w:val="nil"/>
            </w:tcBorders>
            <w:vAlign w:val="center"/>
          </w:tcPr>
          <w:p w:rsidR="00825136" w:rsidRPr="00125018" w:rsidRDefault="00825136" w:rsidP="003705F5">
            <w:pPr>
              <w:jc w:val="center"/>
            </w:pPr>
            <w:r w:rsidRPr="00125018">
              <w:t>2008</w:t>
            </w:r>
          </w:p>
        </w:tc>
        <w:tc>
          <w:tcPr>
            <w:tcW w:w="557" w:type="pct"/>
            <w:tcBorders>
              <w:top w:val="double" w:sz="4" w:space="0" w:color="auto"/>
              <w:bottom w:val="nil"/>
            </w:tcBorders>
            <w:vAlign w:val="center"/>
          </w:tcPr>
          <w:p w:rsidR="00825136" w:rsidRPr="00125018" w:rsidRDefault="00825136" w:rsidP="003705F5">
            <w:pPr>
              <w:jc w:val="center"/>
            </w:pPr>
            <w:r w:rsidRPr="00125018">
              <w:t>2009</w:t>
            </w:r>
          </w:p>
        </w:tc>
        <w:tc>
          <w:tcPr>
            <w:tcW w:w="557" w:type="pct"/>
            <w:tcBorders>
              <w:top w:val="double" w:sz="4" w:space="0" w:color="auto"/>
              <w:bottom w:val="nil"/>
            </w:tcBorders>
            <w:vAlign w:val="center"/>
          </w:tcPr>
          <w:p w:rsidR="00825136" w:rsidRPr="00125018" w:rsidRDefault="00825136" w:rsidP="003705F5">
            <w:pPr>
              <w:jc w:val="center"/>
            </w:pPr>
            <w:r w:rsidRPr="00125018">
              <w:t>2010</w:t>
            </w:r>
          </w:p>
        </w:tc>
        <w:tc>
          <w:tcPr>
            <w:tcW w:w="556" w:type="pct"/>
            <w:tcBorders>
              <w:top w:val="double" w:sz="4" w:space="0" w:color="auto"/>
              <w:bottom w:val="nil"/>
            </w:tcBorders>
            <w:vAlign w:val="center"/>
          </w:tcPr>
          <w:p w:rsidR="00825136" w:rsidRPr="00125018" w:rsidRDefault="00825136" w:rsidP="003705F5">
            <w:pPr>
              <w:jc w:val="center"/>
            </w:pPr>
            <w:r w:rsidRPr="00125018">
              <w:t>2011</w:t>
            </w:r>
          </w:p>
        </w:tc>
        <w:tc>
          <w:tcPr>
            <w:tcW w:w="557" w:type="pct"/>
            <w:tcBorders>
              <w:top w:val="double" w:sz="4" w:space="0" w:color="auto"/>
              <w:bottom w:val="nil"/>
            </w:tcBorders>
            <w:vAlign w:val="center"/>
          </w:tcPr>
          <w:p w:rsidR="00825136" w:rsidRPr="00125018" w:rsidRDefault="00825136" w:rsidP="00B17FE9">
            <w:pPr>
              <w:jc w:val="center"/>
            </w:pPr>
            <w:r w:rsidRPr="00125018">
              <w:t>2012</w:t>
            </w:r>
          </w:p>
        </w:tc>
        <w:tc>
          <w:tcPr>
            <w:tcW w:w="557" w:type="pct"/>
            <w:tcBorders>
              <w:top w:val="double" w:sz="4" w:space="0" w:color="auto"/>
              <w:bottom w:val="nil"/>
            </w:tcBorders>
            <w:vAlign w:val="center"/>
          </w:tcPr>
          <w:p w:rsidR="00825136" w:rsidRPr="00125018" w:rsidRDefault="00825136" w:rsidP="00825136">
            <w:pPr>
              <w:jc w:val="center"/>
            </w:pPr>
            <w:r>
              <w:t>2013</w:t>
            </w:r>
          </w:p>
        </w:tc>
      </w:tr>
      <w:tr w:rsidR="008F7904" w:rsidRPr="00125018" w:rsidTr="008F7904">
        <w:trPr>
          <w:cantSplit/>
          <w:trHeight w:val="397"/>
        </w:trPr>
        <w:tc>
          <w:tcPr>
            <w:tcW w:w="1661" w:type="pct"/>
            <w:tcBorders>
              <w:top w:val="nil"/>
              <w:bottom w:val="nil"/>
              <w:right w:val="nil"/>
            </w:tcBorders>
            <w:vAlign w:val="center"/>
          </w:tcPr>
          <w:p w:rsidR="00825136" w:rsidRPr="00125018" w:rsidRDefault="008F7904" w:rsidP="00125018">
            <w:pPr>
              <w:jc w:val="both"/>
            </w:pPr>
            <w:r>
              <w:t xml:space="preserve">Miktar </w:t>
            </w:r>
            <w:r w:rsidR="00825136" w:rsidRPr="00125018">
              <w:t>(Ton)</w:t>
            </w:r>
          </w:p>
        </w:tc>
        <w:tc>
          <w:tcPr>
            <w:tcW w:w="556" w:type="pct"/>
            <w:tcBorders>
              <w:top w:val="nil"/>
              <w:left w:val="nil"/>
              <w:bottom w:val="nil"/>
            </w:tcBorders>
            <w:vAlign w:val="center"/>
          </w:tcPr>
          <w:p w:rsidR="00825136" w:rsidRPr="00125018" w:rsidRDefault="00825136" w:rsidP="003705F5">
            <w:pPr>
              <w:jc w:val="center"/>
              <w:rPr>
                <w:rFonts w:eastAsia="Arial Unicode MS"/>
              </w:rPr>
            </w:pPr>
            <w:r w:rsidRPr="00125018">
              <w:rPr>
                <w:rFonts w:eastAsia="Arial Unicode MS"/>
              </w:rPr>
              <w:t>70.000</w:t>
            </w:r>
          </w:p>
        </w:tc>
        <w:tc>
          <w:tcPr>
            <w:tcW w:w="557" w:type="pct"/>
            <w:tcBorders>
              <w:top w:val="nil"/>
              <w:bottom w:val="nil"/>
            </w:tcBorders>
            <w:vAlign w:val="center"/>
          </w:tcPr>
          <w:p w:rsidR="00825136" w:rsidRPr="00125018" w:rsidRDefault="00825136" w:rsidP="003705F5">
            <w:pPr>
              <w:jc w:val="center"/>
              <w:rPr>
                <w:rFonts w:eastAsia="Arial Unicode MS"/>
              </w:rPr>
            </w:pPr>
            <w:r w:rsidRPr="00125018">
              <w:rPr>
                <w:rFonts w:eastAsia="Arial Unicode MS"/>
              </w:rPr>
              <w:t>70.000</w:t>
            </w:r>
          </w:p>
        </w:tc>
        <w:tc>
          <w:tcPr>
            <w:tcW w:w="557" w:type="pct"/>
            <w:tcBorders>
              <w:top w:val="nil"/>
              <w:bottom w:val="nil"/>
            </w:tcBorders>
            <w:vAlign w:val="center"/>
          </w:tcPr>
          <w:p w:rsidR="00825136" w:rsidRPr="00125018" w:rsidRDefault="00825136" w:rsidP="003705F5">
            <w:pPr>
              <w:jc w:val="center"/>
              <w:rPr>
                <w:rFonts w:eastAsia="Arial Unicode MS"/>
              </w:rPr>
            </w:pPr>
            <w:r w:rsidRPr="00125018">
              <w:rPr>
                <w:rFonts w:eastAsia="Arial Unicode MS"/>
              </w:rPr>
              <w:t>70.000</w:t>
            </w:r>
          </w:p>
        </w:tc>
        <w:tc>
          <w:tcPr>
            <w:tcW w:w="556" w:type="pct"/>
            <w:tcBorders>
              <w:top w:val="nil"/>
              <w:bottom w:val="nil"/>
            </w:tcBorders>
            <w:vAlign w:val="center"/>
          </w:tcPr>
          <w:p w:rsidR="00825136" w:rsidRPr="00125018" w:rsidRDefault="00825136" w:rsidP="003705F5">
            <w:pPr>
              <w:jc w:val="center"/>
              <w:rPr>
                <w:rFonts w:eastAsia="Arial Unicode MS"/>
              </w:rPr>
            </w:pPr>
            <w:r w:rsidRPr="00125018">
              <w:rPr>
                <w:rFonts w:eastAsia="Arial Unicode MS"/>
              </w:rPr>
              <w:t>70.000</w:t>
            </w:r>
          </w:p>
        </w:tc>
        <w:tc>
          <w:tcPr>
            <w:tcW w:w="557" w:type="pct"/>
            <w:tcBorders>
              <w:top w:val="nil"/>
              <w:bottom w:val="nil"/>
            </w:tcBorders>
            <w:vAlign w:val="center"/>
          </w:tcPr>
          <w:p w:rsidR="00825136" w:rsidRPr="00125018" w:rsidRDefault="00825136" w:rsidP="00B17FE9">
            <w:pPr>
              <w:jc w:val="center"/>
              <w:rPr>
                <w:rFonts w:eastAsia="Arial Unicode MS"/>
              </w:rPr>
            </w:pPr>
            <w:r w:rsidRPr="00125018">
              <w:rPr>
                <w:rFonts w:eastAsia="Arial Unicode MS"/>
              </w:rPr>
              <w:t>70.000</w:t>
            </w:r>
          </w:p>
        </w:tc>
        <w:tc>
          <w:tcPr>
            <w:tcW w:w="557" w:type="pct"/>
            <w:tcBorders>
              <w:top w:val="nil"/>
              <w:bottom w:val="nil"/>
            </w:tcBorders>
            <w:vAlign w:val="center"/>
          </w:tcPr>
          <w:p w:rsidR="00825136" w:rsidRPr="00825136" w:rsidRDefault="00825136" w:rsidP="00825136">
            <w:pPr>
              <w:jc w:val="center"/>
              <w:rPr>
                <w:rFonts w:eastAsia="Arial Unicode MS"/>
              </w:rPr>
            </w:pPr>
            <w:r w:rsidRPr="00825136">
              <w:rPr>
                <w:rFonts w:eastAsia="Arial Unicode MS"/>
              </w:rPr>
              <w:t>70.000</w:t>
            </w:r>
          </w:p>
        </w:tc>
      </w:tr>
      <w:tr w:rsidR="008F7904" w:rsidRPr="00125018" w:rsidTr="008F7904">
        <w:trPr>
          <w:cantSplit/>
          <w:trHeight w:val="397"/>
        </w:trPr>
        <w:tc>
          <w:tcPr>
            <w:tcW w:w="1661" w:type="pct"/>
            <w:tcBorders>
              <w:top w:val="nil"/>
              <w:bottom w:val="double" w:sz="4" w:space="0" w:color="auto"/>
              <w:right w:val="nil"/>
            </w:tcBorders>
            <w:vAlign w:val="center"/>
          </w:tcPr>
          <w:p w:rsidR="00825136" w:rsidRPr="00125018" w:rsidRDefault="00825136" w:rsidP="00125018">
            <w:pPr>
              <w:jc w:val="both"/>
            </w:pPr>
            <w:r w:rsidRPr="00125018">
              <w:t>K</w:t>
            </w:r>
            <w:r w:rsidR="008F7904">
              <w:t xml:space="preserve">apasite </w:t>
            </w:r>
            <w:r w:rsidRPr="00125018">
              <w:t>K</w:t>
            </w:r>
            <w:r w:rsidR="008F7904">
              <w:t xml:space="preserve">ullanım </w:t>
            </w:r>
            <w:r w:rsidRPr="00125018">
              <w:t>O</w:t>
            </w:r>
            <w:r w:rsidR="008F7904">
              <w:t>ranı</w:t>
            </w:r>
            <w:r w:rsidRPr="00125018">
              <w:t xml:space="preserve"> (%)</w:t>
            </w:r>
          </w:p>
        </w:tc>
        <w:tc>
          <w:tcPr>
            <w:tcW w:w="556" w:type="pct"/>
            <w:tcBorders>
              <w:top w:val="nil"/>
              <w:left w:val="nil"/>
              <w:bottom w:val="double" w:sz="4" w:space="0" w:color="auto"/>
            </w:tcBorders>
            <w:vAlign w:val="center"/>
          </w:tcPr>
          <w:p w:rsidR="00825136" w:rsidRPr="00125018" w:rsidRDefault="00825136" w:rsidP="003705F5">
            <w:pPr>
              <w:jc w:val="center"/>
              <w:rPr>
                <w:rFonts w:eastAsia="Arial Unicode MS"/>
              </w:rPr>
            </w:pPr>
            <w:r w:rsidRPr="00125018">
              <w:rPr>
                <w:rFonts w:eastAsia="Arial Unicode MS"/>
              </w:rPr>
              <w:t>60</w:t>
            </w:r>
          </w:p>
        </w:tc>
        <w:tc>
          <w:tcPr>
            <w:tcW w:w="557" w:type="pct"/>
            <w:tcBorders>
              <w:top w:val="nil"/>
              <w:bottom w:val="double" w:sz="4" w:space="0" w:color="auto"/>
            </w:tcBorders>
            <w:vAlign w:val="center"/>
          </w:tcPr>
          <w:p w:rsidR="00825136" w:rsidRPr="00125018" w:rsidRDefault="00825136" w:rsidP="003705F5">
            <w:pPr>
              <w:jc w:val="center"/>
              <w:rPr>
                <w:rFonts w:eastAsia="Arial Unicode MS"/>
              </w:rPr>
            </w:pPr>
            <w:r w:rsidRPr="00125018">
              <w:rPr>
                <w:rFonts w:eastAsia="Arial Unicode MS"/>
              </w:rPr>
              <w:t>86</w:t>
            </w:r>
          </w:p>
        </w:tc>
        <w:tc>
          <w:tcPr>
            <w:tcW w:w="557" w:type="pct"/>
            <w:tcBorders>
              <w:top w:val="nil"/>
              <w:bottom w:val="double" w:sz="4" w:space="0" w:color="auto"/>
            </w:tcBorders>
            <w:vAlign w:val="center"/>
          </w:tcPr>
          <w:p w:rsidR="00825136" w:rsidRPr="00125018" w:rsidRDefault="00825136" w:rsidP="003705F5">
            <w:pPr>
              <w:jc w:val="center"/>
              <w:rPr>
                <w:rFonts w:eastAsia="Arial Unicode MS"/>
              </w:rPr>
            </w:pPr>
            <w:r w:rsidRPr="00125018">
              <w:rPr>
                <w:rFonts w:eastAsia="Arial Unicode MS"/>
              </w:rPr>
              <w:t>105</w:t>
            </w:r>
          </w:p>
        </w:tc>
        <w:tc>
          <w:tcPr>
            <w:tcW w:w="556" w:type="pct"/>
            <w:tcBorders>
              <w:top w:val="nil"/>
              <w:bottom w:val="double" w:sz="4" w:space="0" w:color="auto"/>
            </w:tcBorders>
            <w:vAlign w:val="center"/>
          </w:tcPr>
          <w:p w:rsidR="00825136" w:rsidRPr="00125018" w:rsidRDefault="00825136" w:rsidP="003705F5">
            <w:pPr>
              <w:jc w:val="center"/>
              <w:rPr>
                <w:rFonts w:eastAsia="Arial Unicode MS"/>
              </w:rPr>
            </w:pPr>
            <w:r w:rsidRPr="00125018">
              <w:rPr>
                <w:rFonts w:eastAsia="Arial Unicode MS"/>
              </w:rPr>
              <w:t>86</w:t>
            </w:r>
          </w:p>
        </w:tc>
        <w:tc>
          <w:tcPr>
            <w:tcW w:w="557" w:type="pct"/>
            <w:tcBorders>
              <w:top w:val="nil"/>
              <w:bottom w:val="double" w:sz="4" w:space="0" w:color="auto"/>
            </w:tcBorders>
            <w:vAlign w:val="center"/>
          </w:tcPr>
          <w:p w:rsidR="00825136" w:rsidRPr="00125018" w:rsidRDefault="00825136" w:rsidP="00B17FE9">
            <w:pPr>
              <w:jc w:val="center"/>
              <w:rPr>
                <w:rFonts w:eastAsia="Arial Unicode MS"/>
              </w:rPr>
            </w:pPr>
            <w:r w:rsidRPr="00125018">
              <w:rPr>
                <w:rFonts w:eastAsia="Arial Unicode MS"/>
              </w:rPr>
              <w:t>41</w:t>
            </w:r>
          </w:p>
        </w:tc>
        <w:tc>
          <w:tcPr>
            <w:tcW w:w="557" w:type="pct"/>
            <w:tcBorders>
              <w:top w:val="nil"/>
              <w:bottom w:val="double" w:sz="4" w:space="0" w:color="auto"/>
            </w:tcBorders>
            <w:vAlign w:val="center"/>
          </w:tcPr>
          <w:p w:rsidR="00825136" w:rsidRPr="00825136" w:rsidRDefault="00825136" w:rsidP="00825136">
            <w:pPr>
              <w:jc w:val="center"/>
              <w:rPr>
                <w:rFonts w:eastAsia="Arial Unicode MS"/>
              </w:rPr>
            </w:pPr>
            <w:r w:rsidRPr="00825136">
              <w:rPr>
                <w:rFonts w:eastAsia="Arial Unicode MS"/>
              </w:rPr>
              <w:t>40</w:t>
            </w:r>
          </w:p>
        </w:tc>
      </w:tr>
    </w:tbl>
    <w:p w:rsidR="00F05C7E" w:rsidRDefault="00F05C7E" w:rsidP="00F05C7E">
      <w:pPr>
        <w:ind w:firstLine="708"/>
        <w:jc w:val="both"/>
      </w:pPr>
    </w:p>
    <w:p w:rsidR="004328B1" w:rsidRPr="00125018" w:rsidRDefault="004328B1" w:rsidP="00F05C7E">
      <w:pPr>
        <w:ind w:firstLine="708"/>
        <w:jc w:val="both"/>
      </w:pPr>
      <w:r w:rsidRPr="00125018">
        <w:t xml:space="preserve">Yerli üreticinin toplam üretim kapasitesi soruşturma konusu dönem boyunca aynı seviyede kalmıştır. </w:t>
      </w:r>
      <w:r w:rsidR="00E46E7E" w:rsidRPr="00125018">
        <w:t xml:space="preserve"> </w:t>
      </w:r>
      <w:r w:rsidRPr="00125018">
        <w:t>Bu bağlamda, üretimde yaşanan değişimleri yansıt</w:t>
      </w:r>
      <w:r w:rsidR="00E629E2">
        <w:t>an kapasite kullanım oranı, 2011</w:t>
      </w:r>
      <w:r w:rsidR="00E46E7E" w:rsidRPr="00125018">
        <w:t xml:space="preserve"> yılına kadar artarken bu yıldan i</w:t>
      </w:r>
      <w:r w:rsidR="004C4AEC">
        <w:t>tibaren gerilemeye başlamış 2013</w:t>
      </w:r>
      <w:r w:rsidRPr="00125018">
        <w:t xml:space="preserve"> yılında </w:t>
      </w:r>
      <w:r w:rsidR="00E46E7E" w:rsidRPr="00125018">
        <w:t>i</w:t>
      </w:r>
      <w:r w:rsidR="004C4AEC">
        <w:t>se %40</w:t>
      </w:r>
      <w:r w:rsidR="00E46E7E" w:rsidRPr="00125018">
        <w:t xml:space="preserve"> oranı</w:t>
      </w:r>
      <w:r w:rsidRPr="00125018">
        <w:t xml:space="preserve"> ile son </w:t>
      </w:r>
      <w:r w:rsidR="002330EA">
        <w:t>6</w:t>
      </w:r>
      <w:r w:rsidRPr="00125018">
        <w:t xml:space="preserve"> yılın en düşük değerine gerilemiştir.</w:t>
      </w:r>
    </w:p>
    <w:p w:rsidR="004328B1" w:rsidRPr="00125018" w:rsidRDefault="004328B1" w:rsidP="0071243E">
      <w:pPr>
        <w:pStyle w:val="Balk3"/>
      </w:pPr>
      <w:bookmarkStart w:id="126" w:name="_Toc384116988"/>
      <w:r w:rsidRPr="00125018">
        <w:t>Stoklar</w:t>
      </w:r>
      <w:bookmarkEnd w:id="126"/>
    </w:p>
    <w:tbl>
      <w:tblPr>
        <w:tblW w:w="4943"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610"/>
        <w:gridCol w:w="1298"/>
        <w:gridCol w:w="1295"/>
        <w:gridCol w:w="1295"/>
        <w:gridCol w:w="1295"/>
        <w:gridCol w:w="1195"/>
        <w:gridCol w:w="1194"/>
      </w:tblGrid>
      <w:tr w:rsidR="00825136" w:rsidRPr="00125018" w:rsidTr="00A83B7B">
        <w:trPr>
          <w:cantSplit/>
          <w:trHeight w:val="397"/>
          <w:tblHeader/>
        </w:trPr>
        <w:tc>
          <w:tcPr>
            <w:tcW w:w="877" w:type="pct"/>
            <w:tcBorders>
              <w:top w:val="double" w:sz="4" w:space="0" w:color="auto"/>
              <w:bottom w:val="nil"/>
              <w:right w:val="nil"/>
            </w:tcBorders>
            <w:vAlign w:val="center"/>
          </w:tcPr>
          <w:p w:rsidR="00825136" w:rsidRPr="00125018" w:rsidRDefault="00825136" w:rsidP="00125018">
            <w:pPr>
              <w:jc w:val="both"/>
            </w:pPr>
            <w:r w:rsidRPr="00125018">
              <w:t>Stoklar</w:t>
            </w:r>
          </w:p>
        </w:tc>
        <w:tc>
          <w:tcPr>
            <w:tcW w:w="707" w:type="pct"/>
            <w:tcBorders>
              <w:top w:val="double" w:sz="4" w:space="0" w:color="auto"/>
              <w:left w:val="nil"/>
              <w:bottom w:val="nil"/>
            </w:tcBorders>
            <w:vAlign w:val="center"/>
          </w:tcPr>
          <w:p w:rsidR="00825136" w:rsidRPr="00125018" w:rsidRDefault="00825136" w:rsidP="003705F5">
            <w:pPr>
              <w:jc w:val="center"/>
            </w:pPr>
            <w:r w:rsidRPr="00125018">
              <w:t>2008</w:t>
            </w:r>
          </w:p>
        </w:tc>
        <w:tc>
          <w:tcPr>
            <w:tcW w:w="705" w:type="pct"/>
            <w:tcBorders>
              <w:top w:val="double" w:sz="4" w:space="0" w:color="auto"/>
              <w:bottom w:val="nil"/>
            </w:tcBorders>
            <w:vAlign w:val="center"/>
          </w:tcPr>
          <w:p w:rsidR="00825136" w:rsidRPr="00125018" w:rsidRDefault="00825136" w:rsidP="003705F5">
            <w:pPr>
              <w:jc w:val="center"/>
            </w:pPr>
            <w:r w:rsidRPr="00125018">
              <w:t>2009</w:t>
            </w:r>
          </w:p>
        </w:tc>
        <w:tc>
          <w:tcPr>
            <w:tcW w:w="705" w:type="pct"/>
            <w:tcBorders>
              <w:top w:val="double" w:sz="4" w:space="0" w:color="auto"/>
              <w:bottom w:val="nil"/>
            </w:tcBorders>
            <w:vAlign w:val="center"/>
          </w:tcPr>
          <w:p w:rsidR="00825136" w:rsidRPr="00125018" w:rsidRDefault="00825136" w:rsidP="003705F5">
            <w:pPr>
              <w:jc w:val="center"/>
            </w:pPr>
            <w:r w:rsidRPr="00125018">
              <w:t>2010</w:t>
            </w:r>
          </w:p>
        </w:tc>
        <w:tc>
          <w:tcPr>
            <w:tcW w:w="705" w:type="pct"/>
            <w:tcBorders>
              <w:top w:val="double" w:sz="4" w:space="0" w:color="auto"/>
              <w:bottom w:val="nil"/>
            </w:tcBorders>
            <w:vAlign w:val="center"/>
          </w:tcPr>
          <w:p w:rsidR="00825136" w:rsidRPr="00125018" w:rsidRDefault="00825136" w:rsidP="003705F5">
            <w:pPr>
              <w:jc w:val="center"/>
            </w:pPr>
            <w:r w:rsidRPr="00125018">
              <w:t>2011</w:t>
            </w:r>
          </w:p>
        </w:tc>
        <w:tc>
          <w:tcPr>
            <w:tcW w:w="651" w:type="pct"/>
            <w:tcBorders>
              <w:top w:val="double" w:sz="4" w:space="0" w:color="auto"/>
              <w:bottom w:val="nil"/>
            </w:tcBorders>
            <w:vAlign w:val="center"/>
          </w:tcPr>
          <w:p w:rsidR="00825136" w:rsidRPr="00125018" w:rsidRDefault="00825136" w:rsidP="00B17FE9">
            <w:pPr>
              <w:jc w:val="center"/>
            </w:pPr>
            <w:r w:rsidRPr="00125018">
              <w:t>2012</w:t>
            </w:r>
          </w:p>
        </w:tc>
        <w:tc>
          <w:tcPr>
            <w:tcW w:w="650" w:type="pct"/>
            <w:tcBorders>
              <w:top w:val="double" w:sz="4" w:space="0" w:color="auto"/>
              <w:bottom w:val="nil"/>
            </w:tcBorders>
            <w:vAlign w:val="center"/>
          </w:tcPr>
          <w:p w:rsidR="00825136" w:rsidRPr="00125018" w:rsidRDefault="00825136" w:rsidP="00825136">
            <w:pPr>
              <w:jc w:val="center"/>
            </w:pPr>
            <w:r>
              <w:t>2013</w:t>
            </w:r>
          </w:p>
        </w:tc>
      </w:tr>
      <w:tr w:rsidR="00825136" w:rsidRPr="00125018" w:rsidTr="00A83B7B">
        <w:trPr>
          <w:cantSplit/>
          <w:trHeight w:val="397"/>
        </w:trPr>
        <w:tc>
          <w:tcPr>
            <w:tcW w:w="877" w:type="pct"/>
            <w:tcBorders>
              <w:top w:val="nil"/>
              <w:bottom w:val="double" w:sz="4" w:space="0" w:color="auto"/>
              <w:right w:val="nil"/>
            </w:tcBorders>
            <w:vAlign w:val="center"/>
          </w:tcPr>
          <w:p w:rsidR="00825136" w:rsidRPr="00125018" w:rsidRDefault="00825136" w:rsidP="00125018">
            <w:pPr>
              <w:jc w:val="both"/>
            </w:pPr>
            <w:r w:rsidRPr="00125018">
              <w:t>Endeks</w:t>
            </w:r>
          </w:p>
        </w:tc>
        <w:tc>
          <w:tcPr>
            <w:tcW w:w="707" w:type="pct"/>
            <w:tcBorders>
              <w:left w:val="nil"/>
            </w:tcBorders>
            <w:vAlign w:val="center"/>
          </w:tcPr>
          <w:p w:rsidR="00825136" w:rsidRPr="00125018" w:rsidRDefault="00825136" w:rsidP="003705F5">
            <w:pPr>
              <w:jc w:val="center"/>
              <w:rPr>
                <w:rFonts w:eastAsia="Arial Unicode MS"/>
              </w:rPr>
            </w:pPr>
            <w:r w:rsidRPr="00125018">
              <w:rPr>
                <w:rFonts w:eastAsia="Arial Unicode MS"/>
              </w:rPr>
              <w:t>100</w:t>
            </w:r>
          </w:p>
        </w:tc>
        <w:tc>
          <w:tcPr>
            <w:tcW w:w="705" w:type="pct"/>
            <w:vAlign w:val="center"/>
          </w:tcPr>
          <w:p w:rsidR="00825136" w:rsidRPr="00125018" w:rsidRDefault="00825136" w:rsidP="003705F5">
            <w:pPr>
              <w:jc w:val="center"/>
              <w:rPr>
                <w:rFonts w:eastAsia="Arial Unicode MS"/>
              </w:rPr>
            </w:pPr>
            <w:r w:rsidRPr="00125018">
              <w:rPr>
                <w:rFonts w:eastAsia="Arial Unicode MS"/>
              </w:rPr>
              <w:t>165</w:t>
            </w:r>
          </w:p>
        </w:tc>
        <w:tc>
          <w:tcPr>
            <w:tcW w:w="705" w:type="pct"/>
            <w:vAlign w:val="center"/>
          </w:tcPr>
          <w:p w:rsidR="00825136" w:rsidRPr="00125018" w:rsidRDefault="00825136" w:rsidP="003705F5">
            <w:pPr>
              <w:jc w:val="center"/>
              <w:rPr>
                <w:rFonts w:eastAsia="Arial Unicode MS"/>
              </w:rPr>
            </w:pPr>
            <w:r w:rsidRPr="00125018">
              <w:rPr>
                <w:rFonts w:eastAsia="Arial Unicode MS"/>
              </w:rPr>
              <w:t>24</w:t>
            </w:r>
          </w:p>
        </w:tc>
        <w:tc>
          <w:tcPr>
            <w:tcW w:w="705" w:type="pct"/>
            <w:vAlign w:val="center"/>
          </w:tcPr>
          <w:p w:rsidR="00825136" w:rsidRPr="00125018" w:rsidRDefault="00825136" w:rsidP="003705F5">
            <w:pPr>
              <w:jc w:val="center"/>
              <w:rPr>
                <w:rFonts w:eastAsia="Arial Unicode MS"/>
              </w:rPr>
            </w:pPr>
            <w:r w:rsidRPr="00125018">
              <w:rPr>
                <w:rFonts w:eastAsia="Arial Unicode MS"/>
              </w:rPr>
              <w:t>322</w:t>
            </w:r>
          </w:p>
        </w:tc>
        <w:tc>
          <w:tcPr>
            <w:tcW w:w="651" w:type="pct"/>
            <w:vAlign w:val="center"/>
          </w:tcPr>
          <w:p w:rsidR="00825136" w:rsidRPr="00125018" w:rsidRDefault="00825136" w:rsidP="00B17FE9">
            <w:pPr>
              <w:jc w:val="center"/>
              <w:rPr>
                <w:rFonts w:eastAsia="Arial Unicode MS"/>
              </w:rPr>
            </w:pPr>
            <w:r w:rsidRPr="00125018">
              <w:rPr>
                <w:rFonts w:eastAsia="Arial Unicode MS"/>
              </w:rPr>
              <w:t>4</w:t>
            </w:r>
          </w:p>
        </w:tc>
        <w:tc>
          <w:tcPr>
            <w:tcW w:w="650" w:type="pct"/>
            <w:vAlign w:val="center"/>
          </w:tcPr>
          <w:p w:rsidR="00825136" w:rsidRPr="00825136" w:rsidRDefault="00825136" w:rsidP="00825136">
            <w:pPr>
              <w:jc w:val="center"/>
              <w:rPr>
                <w:rFonts w:eastAsia="Arial Unicode MS"/>
              </w:rPr>
            </w:pPr>
            <w:r w:rsidRPr="00825136">
              <w:rPr>
                <w:rFonts w:eastAsia="Arial Unicode MS"/>
              </w:rPr>
              <w:t>323</w:t>
            </w:r>
          </w:p>
        </w:tc>
      </w:tr>
    </w:tbl>
    <w:p w:rsidR="00F05C7E" w:rsidRDefault="00F05C7E" w:rsidP="00125018">
      <w:pPr>
        <w:jc w:val="both"/>
      </w:pPr>
    </w:p>
    <w:p w:rsidR="004328B1" w:rsidRDefault="00E6278C" w:rsidP="00F05C7E">
      <w:pPr>
        <w:ind w:firstLine="708"/>
        <w:jc w:val="both"/>
      </w:pPr>
      <w:r w:rsidRPr="00125018">
        <w:t xml:space="preserve">Yerli üreticinin stokları inceleme döneminde dalgalı bir </w:t>
      </w:r>
      <w:r w:rsidR="0010145E">
        <w:t xml:space="preserve">seyir izlemiştir. 2009 yılında </w:t>
      </w:r>
      <w:r w:rsidRPr="00125018">
        <w:t>65</w:t>
      </w:r>
      <w:r w:rsidR="004328B1" w:rsidRPr="00125018">
        <w:t xml:space="preserve"> </w:t>
      </w:r>
      <w:r w:rsidR="0010145E">
        <w:t>puan</w:t>
      </w:r>
      <w:r w:rsidR="004328B1" w:rsidRPr="00125018">
        <w:t xml:space="preserve"> </w:t>
      </w:r>
      <w:r w:rsidR="0010145E">
        <w:t>artan dönem sonu stok endeksi</w:t>
      </w:r>
      <w:r w:rsidR="00F93A9F">
        <w:t>nin</w:t>
      </w:r>
      <w:r w:rsidR="0010145E">
        <w:t xml:space="preserve"> </w:t>
      </w:r>
      <w:r w:rsidR="004328B1" w:rsidRPr="00125018">
        <w:t xml:space="preserve">izleyen yılda önemli ölçüde </w:t>
      </w:r>
      <w:r w:rsidRPr="00125018">
        <w:t xml:space="preserve">gerilediği, 2011 yılında ise </w:t>
      </w:r>
      <w:r w:rsidR="0010145E">
        <w:t xml:space="preserve">2010’a göre </w:t>
      </w:r>
      <w:r w:rsidR="00A46A9D">
        <w:t>1</w:t>
      </w:r>
      <w:r w:rsidRPr="00125018">
        <w:t>3 katın üzerinde arttığı görülmektedir.</w:t>
      </w:r>
      <w:r w:rsidR="004328B1" w:rsidRPr="00125018">
        <w:t xml:space="preserve"> </w:t>
      </w:r>
      <w:r w:rsidRPr="00125018">
        <w:t xml:space="preserve">2012 yılında ise bu stok miktarının neredeyse tamamen eridiği görülmektedir. 2012 yılında üretimde </w:t>
      </w:r>
      <w:r w:rsidR="006733FC" w:rsidRPr="00125018">
        <w:t>yaşanan önemli düşüş</w:t>
      </w:r>
      <w:r w:rsidRPr="00125018">
        <w:t xml:space="preserve"> ve nihayetinde üretim faaliyetlerinin durması nedeniyle yerli üreticinin stoklardan satış yaptığı ve 2011 yılında artan stokların 2012 yılında eridiği ve inceleme döneminin en düşük seviyesine indiği görülmektedir.</w:t>
      </w:r>
      <w:r w:rsidR="004328B1" w:rsidRPr="00125018">
        <w:t xml:space="preserve"> </w:t>
      </w:r>
      <w:r w:rsidR="002330EA">
        <w:t xml:space="preserve">2013 yılında </w:t>
      </w:r>
      <w:r w:rsidR="004C4AEC">
        <w:t>ise stok miktarı tekrar artarak 2011 yılındaki seviyesini de aşmıştır.</w:t>
      </w:r>
    </w:p>
    <w:p w:rsidR="004328B1" w:rsidRPr="00125018" w:rsidRDefault="004328B1" w:rsidP="0071243E">
      <w:pPr>
        <w:pStyle w:val="Balk3"/>
      </w:pPr>
      <w:bookmarkStart w:id="127" w:name="_Toc384116989"/>
      <w:r w:rsidRPr="00125018">
        <w:lastRenderedPageBreak/>
        <w:t>İstihdam</w:t>
      </w:r>
      <w:bookmarkEnd w:id="127"/>
    </w:p>
    <w:tbl>
      <w:tblPr>
        <w:tblW w:w="5001"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2152"/>
        <w:gridCol w:w="1189"/>
        <w:gridCol w:w="1189"/>
        <w:gridCol w:w="1191"/>
        <w:gridCol w:w="1189"/>
        <w:gridCol w:w="1191"/>
        <w:gridCol w:w="1189"/>
      </w:tblGrid>
      <w:tr w:rsidR="00825136" w:rsidRPr="00125018" w:rsidTr="00265871">
        <w:trPr>
          <w:cantSplit/>
          <w:trHeight w:val="397"/>
          <w:tblHeader/>
        </w:trPr>
        <w:tc>
          <w:tcPr>
            <w:tcW w:w="1158" w:type="pct"/>
            <w:tcBorders>
              <w:top w:val="double" w:sz="4" w:space="0" w:color="auto"/>
              <w:bottom w:val="nil"/>
              <w:right w:val="nil"/>
            </w:tcBorders>
            <w:vAlign w:val="center"/>
          </w:tcPr>
          <w:p w:rsidR="00825136" w:rsidRPr="00125018" w:rsidRDefault="00825136" w:rsidP="00125018">
            <w:pPr>
              <w:jc w:val="both"/>
            </w:pPr>
            <w:r w:rsidRPr="00125018">
              <w:t>İstihdam</w:t>
            </w:r>
          </w:p>
        </w:tc>
        <w:tc>
          <w:tcPr>
            <w:tcW w:w="640" w:type="pct"/>
            <w:tcBorders>
              <w:top w:val="double" w:sz="4" w:space="0" w:color="auto"/>
              <w:left w:val="nil"/>
              <w:bottom w:val="nil"/>
            </w:tcBorders>
            <w:vAlign w:val="center"/>
          </w:tcPr>
          <w:p w:rsidR="00825136" w:rsidRPr="00125018" w:rsidRDefault="00825136" w:rsidP="003705F5">
            <w:pPr>
              <w:jc w:val="center"/>
            </w:pPr>
            <w:r w:rsidRPr="00125018">
              <w:t>2008</w:t>
            </w:r>
          </w:p>
        </w:tc>
        <w:tc>
          <w:tcPr>
            <w:tcW w:w="640" w:type="pct"/>
            <w:tcBorders>
              <w:top w:val="double" w:sz="4" w:space="0" w:color="auto"/>
              <w:bottom w:val="nil"/>
            </w:tcBorders>
            <w:vAlign w:val="center"/>
          </w:tcPr>
          <w:p w:rsidR="00825136" w:rsidRPr="00125018" w:rsidRDefault="00825136" w:rsidP="003705F5">
            <w:pPr>
              <w:jc w:val="center"/>
            </w:pPr>
            <w:r w:rsidRPr="00125018">
              <w:t>2009</w:t>
            </w:r>
          </w:p>
        </w:tc>
        <w:tc>
          <w:tcPr>
            <w:tcW w:w="641" w:type="pct"/>
            <w:tcBorders>
              <w:top w:val="double" w:sz="4" w:space="0" w:color="auto"/>
              <w:bottom w:val="nil"/>
            </w:tcBorders>
            <w:vAlign w:val="center"/>
          </w:tcPr>
          <w:p w:rsidR="00825136" w:rsidRPr="00125018" w:rsidRDefault="00825136" w:rsidP="003705F5">
            <w:pPr>
              <w:jc w:val="center"/>
            </w:pPr>
            <w:r w:rsidRPr="00125018">
              <w:t>2010</w:t>
            </w:r>
          </w:p>
        </w:tc>
        <w:tc>
          <w:tcPr>
            <w:tcW w:w="640" w:type="pct"/>
            <w:tcBorders>
              <w:top w:val="double" w:sz="4" w:space="0" w:color="auto"/>
              <w:bottom w:val="nil"/>
            </w:tcBorders>
            <w:vAlign w:val="center"/>
          </w:tcPr>
          <w:p w:rsidR="00825136" w:rsidRPr="00125018" w:rsidRDefault="00825136" w:rsidP="003705F5">
            <w:pPr>
              <w:jc w:val="center"/>
            </w:pPr>
            <w:r w:rsidRPr="00125018">
              <w:t>2011</w:t>
            </w:r>
          </w:p>
        </w:tc>
        <w:tc>
          <w:tcPr>
            <w:tcW w:w="641" w:type="pct"/>
            <w:tcBorders>
              <w:top w:val="double" w:sz="4" w:space="0" w:color="auto"/>
              <w:bottom w:val="nil"/>
            </w:tcBorders>
            <w:vAlign w:val="center"/>
          </w:tcPr>
          <w:p w:rsidR="00825136" w:rsidRPr="00125018" w:rsidRDefault="00825136" w:rsidP="00B17FE9">
            <w:pPr>
              <w:jc w:val="center"/>
            </w:pPr>
            <w:r w:rsidRPr="00125018">
              <w:t>2012</w:t>
            </w:r>
          </w:p>
        </w:tc>
        <w:tc>
          <w:tcPr>
            <w:tcW w:w="640" w:type="pct"/>
            <w:tcBorders>
              <w:top w:val="double" w:sz="4" w:space="0" w:color="auto"/>
              <w:bottom w:val="nil"/>
            </w:tcBorders>
            <w:vAlign w:val="center"/>
          </w:tcPr>
          <w:p w:rsidR="00825136" w:rsidRPr="00125018" w:rsidRDefault="00825136" w:rsidP="00825136">
            <w:pPr>
              <w:jc w:val="center"/>
            </w:pPr>
            <w:r>
              <w:t>2013</w:t>
            </w:r>
          </w:p>
        </w:tc>
      </w:tr>
      <w:tr w:rsidR="00825136" w:rsidRPr="00125018" w:rsidTr="00265871">
        <w:trPr>
          <w:cantSplit/>
          <w:trHeight w:val="397"/>
        </w:trPr>
        <w:tc>
          <w:tcPr>
            <w:tcW w:w="1158" w:type="pct"/>
            <w:tcBorders>
              <w:top w:val="nil"/>
              <w:bottom w:val="double" w:sz="4" w:space="0" w:color="auto"/>
              <w:right w:val="nil"/>
            </w:tcBorders>
            <w:vAlign w:val="center"/>
          </w:tcPr>
          <w:p w:rsidR="00825136" w:rsidRPr="00125018" w:rsidRDefault="00825136" w:rsidP="00125018">
            <w:pPr>
              <w:jc w:val="both"/>
            </w:pPr>
            <w:r w:rsidRPr="00125018">
              <w:t>Endeks</w:t>
            </w:r>
          </w:p>
        </w:tc>
        <w:tc>
          <w:tcPr>
            <w:tcW w:w="640" w:type="pct"/>
            <w:tcBorders>
              <w:left w:val="nil"/>
            </w:tcBorders>
            <w:vAlign w:val="center"/>
          </w:tcPr>
          <w:p w:rsidR="00825136" w:rsidRPr="00125018" w:rsidRDefault="00825136" w:rsidP="003705F5">
            <w:pPr>
              <w:jc w:val="center"/>
              <w:rPr>
                <w:rFonts w:eastAsia="Arial Unicode MS"/>
              </w:rPr>
            </w:pPr>
            <w:r w:rsidRPr="00125018">
              <w:rPr>
                <w:rFonts w:eastAsia="Arial Unicode MS"/>
              </w:rPr>
              <w:t>100</w:t>
            </w:r>
          </w:p>
        </w:tc>
        <w:tc>
          <w:tcPr>
            <w:tcW w:w="640" w:type="pct"/>
            <w:vAlign w:val="center"/>
          </w:tcPr>
          <w:p w:rsidR="00825136" w:rsidRPr="00125018" w:rsidRDefault="00825136" w:rsidP="003705F5">
            <w:pPr>
              <w:jc w:val="center"/>
              <w:rPr>
                <w:rFonts w:eastAsia="Arial Unicode MS"/>
              </w:rPr>
            </w:pPr>
            <w:r w:rsidRPr="00125018">
              <w:rPr>
                <w:rFonts w:eastAsia="Arial Unicode MS"/>
              </w:rPr>
              <w:t>84</w:t>
            </w:r>
          </w:p>
        </w:tc>
        <w:tc>
          <w:tcPr>
            <w:tcW w:w="641" w:type="pct"/>
            <w:vAlign w:val="center"/>
          </w:tcPr>
          <w:p w:rsidR="00825136" w:rsidRPr="00125018" w:rsidRDefault="00825136" w:rsidP="003705F5">
            <w:pPr>
              <w:jc w:val="center"/>
              <w:rPr>
                <w:rFonts w:eastAsia="Arial Unicode MS"/>
              </w:rPr>
            </w:pPr>
            <w:r w:rsidRPr="00125018">
              <w:rPr>
                <w:rFonts w:eastAsia="Arial Unicode MS"/>
              </w:rPr>
              <w:t>88</w:t>
            </w:r>
          </w:p>
        </w:tc>
        <w:tc>
          <w:tcPr>
            <w:tcW w:w="640" w:type="pct"/>
            <w:vAlign w:val="center"/>
          </w:tcPr>
          <w:p w:rsidR="00825136" w:rsidRPr="00125018" w:rsidRDefault="00825136" w:rsidP="003705F5">
            <w:pPr>
              <w:jc w:val="center"/>
              <w:rPr>
                <w:rFonts w:eastAsia="Arial Unicode MS"/>
              </w:rPr>
            </w:pPr>
            <w:r w:rsidRPr="00125018">
              <w:rPr>
                <w:rFonts w:eastAsia="Arial Unicode MS"/>
              </w:rPr>
              <w:t>81</w:t>
            </w:r>
          </w:p>
        </w:tc>
        <w:tc>
          <w:tcPr>
            <w:tcW w:w="641" w:type="pct"/>
            <w:vAlign w:val="center"/>
          </w:tcPr>
          <w:p w:rsidR="00825136" w:rsidRPr="00125018" w:rsidRDefault="00825136" w:rsidP="00B17FE9">
            <w:pPr>
              <w:jc w:val="center"/>
              <w:rPr>
                <w:rFonts w:eastAsia="Arial Unicode MS"/>
              </w:rPr>
            </w:pPr>
            <w:r w:rsidRPr="00125018">
              <w:rPr>
                <w:rFonts w:eastAsia="Arial Unicode MS"/>
              </w:rPr>
              <w:t>79</w:t>
            </w:r>
          </w:p>
        </w:tc>
        <w:tc>
          <w:tcPr>
            <w:tcW w:w="640" w:type="pct"/>
            <w:vAlign w:val="center"/>
          </w:tcPr>
          <w:p w:rsidR="00825136" w:rsidRPr="00825136" w:rsidRDefault="00825136" w:rsidP="00825136">
            <w:pPr>
              <w:jc w:val="center"/>
              <w:rPr>
                <w:rFonts w:eastAsia="Arial Unicode MS"/>
              </w:rPr>
            </w:pPr>
            <w:r w:rsidRPr="00825136">
              <w:rPr>
                <w:rFonts w:eastAsia="Arial Unicode MS"/>
              </w:rPr>
              <w:t>73</w:t>
            </w:r>
          </w:p>
        </w:tc>
      </w:tr>
    </w:tbl>
    <w:p w:rsidR="00F05C7E" w:rsidRDefault="00F05C7E" w:rsidP="00F05C7E">
      <w:pPr>
        <w:ind w:firstLine="708"/>
        <w:jc w:val="both"/>
      </w:pPr>
    </w:p>
    <w:p w:rsidR="00B24525" w:rsidRDefault="0010145E" w:rsidP="00F05C7E">
      <w:pPr>
        <w:ind w:firstLine="708"/>
        <w:jc w:val="both"/>
      </w:pPr>
      <w:r>
        <w:t>Yerli üreticinin istihdam endeksi</w:t>
      </w:r>
      <w:r w:rsidR="007120E6" w:rsidRPr="00125018">
        <w:t xml:space="preserve"> 2009 yılın</w:t>
      </w:r>
      <w:r>
        <w:t xml:space="preserve">da </w:t>
      </w:r>
      <w:r w:rsidR="007120E6" w:rsidRPr="00125018">
        <w:t xml:space="preserve">16 </w:t>
      </w:r>
      <w:r>
        <w:t>puan gerilemiş, 2010 yılında 4</w:t>
      </w:r>
      <w:r w:rsidR="007120E6" w:rsidRPr="00125018">
        <w:t xml:space="preserve"> </w:t>
      </w:r>
      <w:r>
        <w:t>puan</w:t>
      </w:r>
      <w:r w:rsidR="007120E6" w:rsidRPr="00125018">
        <w:t xml:space="preserve"> artan istihdam</w:t>
      </w:r>
      <w:r>
        <w:t xml:space="preserve"> endeksi</w:t>
      </w:r>
      <w:r w:rsidR="007120E6" w:rsidRPr="00125018">
        <w:t xml:space="preserve"> izleyen </w:t>
      </w:r>
      <w:r w:rsidR="004C4AEC">
        <w:t xml:space="preserve">üç yılda </w:t>
      </w:r>
      <w:r w:rsidR="00885FA7">
        <w:t xml:space="preserve">iniş </w:t>
      </w:r>
      <w:proofErr w:type="gramStart"/>
      <w:r w:rsidR="00885FA7">
        <w:t>trendine</w:t>
      </w:r>
      <w:proofErr w:type="gramEnd"/>
      <w:r w:rsidR="00885FA7">
        <w:t xml:space="preserve"> girmiştir</w:t>
      </w:r>
      <w:r w:rsidR="004C4AEC">
        <w:t>. 2008’deki istihdamın %73</w:t>
      </w:r>
      <w:r w:rsidR="00885FA7">
        <w:t>’ü</w:t>
      </w:r>
      <w:r w:rsidR="007120E6" w:rsidRPr="00125018">
        <w:t xml:space="preserve"> seviyesinde bulunan </w:t>
      </w:r>
      <w:r w:rsidR="004C4AEC">
        <w:t xml:space="preserve">2013 </w:t>
      </w:r>
      <w:r w:rsidR="007120E6" w:rsidRPr="00125018">
        <w:t xml:space="preserve">istihdam verisi aynı zamanda inceleme döneminde karşılaşılan en düşük seviyedir. </w:t>
      </w:r>
      <w:r w:rsidR="00087E92">
        <w:t xml:space="preserve">Diğer taraftan, üretimdeki düşüş ile karşılaştırıldığında istihdamda yaşanan gerilemenin daha düşük oranda olduğu görülmektedir. </w:t>
      </w:r>
    </w:p>
    <w:p w:rsidR="004328B1" w:rsidRPr="00125018" w:rsidRDefault="004328B1" w:rsidP="0071243E">
      <w:pPr>
        <w:pStyle w:val="Balk3"/>
      </w:pPr>
      <w:bookmarkStart w:id="128" w:name="_Toc384116990"/>
      <w:r w:rsidRPr="00125018">
        <w:t>Verimlilik</w:t>
      </w:r>
      <w:bookmarkEnd w:id="128"/>
    </w:p>
    <w:tbl>
      <w:tblPr>
        <w:tblW w:w="5001"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419"/>
        <w:gridCol w:w="1291"/>
        <w:gridCol w:w="1291"/>
        <w:gridCol w:w="1291"/>
        <w:gridCol w:w="1291"/>
        <w:gridCol w:w="1354"/>
        <w:gridCol w:w="1353"/>
      </w:tblGrid>
      <w:tr w:rsidR="00825136" w:rsidRPr="00125018" w:rsidTr="00265871">
        <w:trPr>
          <w:cantSplit/>
          <w:trHeight w:val="397"/>
          <w:tblHeader/>
        </w:trPr>
        <w:tc>
          <w:tcPr>
            <w:tcW w:w="763" w:type="pct"/>
            <w:tcBorders>
              <w:top w:val="double" w:sz="4" w:space="0" w:color="auto"/>
              <w:bottom w:val="nil"/>
              <w:right w:val="nil"/>
            </w:tcBorders>
            <w:vAlign w:val="center"/>
          </w:tcPr>
          <w:p w:rsidR="00825136" w:rsidRPr="00125018" w:rsidRDefault="00825136" w:rsidP="00125018">
            <w:pPr>
              <w:jc w:val="both"/>
            </w:pPr>
            <w:r w:rsidRPr="00125018">
              <w:t>Verimlilik</w:t>
            </w:r>
          </w:p>
        </w:tc>
        <w:tc>
          <w:tcPr>
            <w:tcW w:w="695" w:type="pct"/>
            <w:tcBorders>
              <w:top w:val="double" w:sz="4" w:space="0" w:color="auto"/>
              <w:left w:val="nil"/>
              <w:bottom w:val="nil"/>
            </w:tcBorders>
            <w:vAlign w:val="center"/>
          </w:tcPr>
          <w:p w:rsidR="00825136" w:rsidRPr="00125018" w:rsidRDefault="00825136" w:rsidP="003705F5">
            <w:pPr>
              <w:jc w:val="center"/>
            </w:pPr>
            <w:r w:rsidRPr="00125018">
              <w:t>2008</w:t>
            </w:r>
          </w:p>
        </w:tc>
        <w:tc>
          <w:tcPr>
            <w:tcW w:w="695" w:type="pct"/>
            <w:tcBorders>
              <w:top w:val="double" w:sz="4" w:space="0" w:color="auto"/>
              <w:bottom w:val="nil"/>
            </w:tcBorders>
            <w:vAlign w:val="center"/>
          </w:tcPr>
          <w:p w:rsidR="00825136" w:rsidRPr="00125018" w:rsidRDefault="00825136" w:rsidP="003705F5">
            <w:pPr>
              <w:jc w:val="center"/>
            </w:pPr>
            <w:r w:rsidRPr="00125018">
              <w:t>2009</w:t>
            </w:r>
          </w:p>
        </w:tc>
        <w:tc>
          <w:tcPr>
            <w:tcW w:w="695" w:type="pct"/>
            <w:tcBorders>
              <w:top w:val="double" w:sz="4" w:space="0" w:color="auto"/>
              <w:bottom w:val="nil"/>
            </w:tcBorders>
            <w:vAlign w:val="center"/>
          </w:tcPr>
          <w:p w:rsidR="00825136" w:rsidRPr="00125018" w:rsidRDefault="00825136" w:rsidP="003705F5">
            <w:pPr>
              <w:jc w:val="center"/>
            </w:pPr>
            <w:r w:rsidRPr="00125018">
              <w:t>2010</w:t>
            </w:r>
          </w:p>
        </w:tc>
        <w:tc>
          <w:tcPr>
            <w:tcW w:w="695" w:type="pct"/>
            <w:tcBorders>
              <w:top w:val="double" w:sz="4" w:space="0" w:color="auto"/>
              <w:bottom w:val="nil"/>
            </w:tcBorders>
            <w:vAlign w:val="center"/>
          </w:tcPr>
          <w:p w:rsidR="00825136" w:rsidRPr="00125018" w:rsidRDefault="00825136" w:rsidP="003705F5">
            <w:pPr>
              <w:jc w:val="center"/>
            </w:pPr>
            <w:r w:rsidRPr="00125018">
              <w:t>2011</w:t>
            </w:r>
          </w:p>
        </w:tc>
        <w:tc>
          <w:tcPr>
            <w:tcW w:w="729" w:type="pct"/>
            <w:tcBorders>
              <w:top w:val="double" w:sz="4" w:space="0" w:color="auto"/>
              <w:bottom w:val="nil"/>
            </w:tcBorders>
            <w:vAlign w:val="center"/>
          </w:tcPr>
          <w:p w:rsidR="00825136" w:rsidRPr="00125018" w:rsidRDefault="00825136" w:rsidP="00B17FE9">
            <w:pPr>
              <w:jc w:val="center"/>
            </w:pPr>
            <w:r w:rsidRPr="00125018">
              <w:t>2012</w:t>
            </w:r>
          </w:p>
        </w:tc>
        <w:tc>
          <w:tcPr>
            <w:tcW w:w="729" w:type="pct"/>
            <w:tcBorders>
              <w:top w:val="double" w:sz="4" w:space="0" w:color="auto"/>
              <w:bottom w:val="nil"/>
            </w:tcBorders>
            <w:vAlign w:val="center"/>
          </w:tcPr>
          <w:p w:rsidR="00825136" w:rsidRPr="00125018" w:rsidRDefault="00825136" w:rsidP="00825136">
            <w:pPr>
              <w:jc w:val="center"/>
            </w:pPr>
            <w:r>
              <w:t>2013</w:t>
            </w:r>
          </w:p>
        </w:tc>
      </w:tr>
      <w:tr w:rsidR="00825136" w:rsidRPr="00125018" w:rsidTr="00265871">
        <w:trPr>
          <w:cantSplit/>
          <w:trHeight w:val="397"/>
        </w:trPr>
        <w:tc>
          <w:tcPr>
            <w:tcW w:w="763" w:type="pct"/>
            <w:tcBorders>
              <w:top w:val="nil"/>
              <w:bottom w:val="double" w:sz="4" w:space="0" w:color="auto"/>
              <w:right w:val="nil"/>
            </w:tcBorders>
            <w:vAlign w:val="center"/>
          </w:tcPr>
          <w:p w:rsidR="00825136" w:rsidRPr="00125018" w:rsidRDefault="00825136" w:rsidP="00125018">
            <w:pPr>
              <w:jc w:val="both"/>
            </w:pPr>
            <w:r w:rsidRPr="00125018">
              <w:t>Endeks</w:t>
            </w:r>
          </w:p>
        </w:tc>
        <w:tc>
          <w:tcPr>
            <w:tcW w:w="695" w:type="pct"/>
            <w:tcBorders>
              <w:left w:val="nil"/>
            </w:tcBorders>
            <w:vAlign w:val="center"/>
          </w:tcPr>
          <w:p w:rsidR="00825136" w:rsidRPr="00125018" w:rsidRDefault="00825136" w:rsidP="003705F5">
            <w:pPr>
              <w:jc w:val="center"/>
              <w:rPr>
                <w:rFonts w:eastAsia="Arial Unicode MS"/>
              </w:rPr>
            </w:pPr>
            <w:r w:rsidRPr="00125018">
              <w:rPr>
                <w:rFonts w:eastAsia="Arial Unicode MS"/>
              </w:rPr>
              <w:t>100</w:t>
            </w:r>
          </w:p>
        </w:tc>
        <w:tc>
          <w:tcPr>
            <w:tcW w:w="695" w:type="pct"/>
            <w:vAlign w:val="center"/>
          </w:tcPr>
          <w:p w:rsidR="00825136" w:rsidRPr="00125018" w:rsidRDefault="00825136" w:rsidP="003705F5">
            <w:pPr>
              <w:jc w:val="center"/>
              <w:rPr>
                <w:rFonts w:eastAsia="Arial Unicode MS"/>
              </w:rPr>
            </w:pPr>
            <w:r w:rsidRPr="00125018">
              <w:rPr>
                <w:rFonts w:eastAsia="Arial Unicode MS"/>
              </w:rPr>
              <w:t>170</w:t>
            </w:r>
          </w:p>
        </w:tc>
        <w:tc>
          <w:tcPr>
            <w:tcW w:w="695" w:type="pct"/>
            <w:vAlign w:val="center"/>
          </w:tcPr>
          <w:p w:rsidR="00825136" w:rsidRPr="00125018" w:rsidRDefault="00825136" w:rsidP="003705F5">
            <w:pPr>
              <w:jc w:val="center"/>
              <w:rPr>
                <w:rFonts w:eastAsia="Arial Unicode MS"/>
              </w:rPr>
            </w:pPr>
            <w:r w:rsidRPr="00125018">
              <w:rPr>
                <w:rFonts w:eastAsia="Arial Unicode MS"/>
              </w:rPr>
              <w:t>199</w:t>
            </w:r>
          </w:p>
        </w:tc>
        <w:tc>
          <w:tcPr>
            <w:tcW w:w="695" w:type="pct"/>
            <w:vAlign w:val="center"/>
          </w:tcPr>
          <w:p w:rsidR="00825136" w:rsidRPr="00125018" w:rsidRDefault="00825136" w:rsidP="003705F5">
            <w:pPr>
              <w:jc w:val="center"/>
              <w:rPr>
                <w:rFonts w:eastAsia="Arial Unicode MS"/>
              </w:rPr>
            </w:pPr>
            <w:r w:rsidRPr="00125018">
              <w:rPr>
                <w:rFonts w:eastAsia="Arial Unicode MS"/>
              </w:rPr>
              <w:t>175</w:t>
            </w:r>
          </w:p>
        </w:tc>
        <w:tc>
          <w:tcPr>
            <w:tcW w:w="729" w:type="pct"/>
            <w:vAlign w:val="center"/>
          </w:tcPr>
          <w:p w:rsidR="00825136" w:rsidRPr="00125018" w:rsidRDefault="00825136" w:rsidP="00B17FE9">
            <w:pPr>
              <w:jc w:val="center"/>
              <w:rPr>
                <w:rFonts w:eastAsia="Arial Unicode MS"/>
              </w:rPr>
            </w:pPr>
            <w:r w:rsidRPr="00125018">
              <w:rPr>
                <w:rFonts w:eastAsia="Arial Unicode MS"/>
              </w:rPr>
              <w:t>86</w:t>
            </w:r>
          </w:p>
        </w:tc>
        <w:tc>
          <w:tcPr>
            <w:tcW w:w="729" w:type="pct"/>
            <w:vAlign w:val="center"/>
          </w:tcPr>
          <w:p w:rsidR="00825136" w:rsidRPr="00825136" w:rsidRDefault="00825136" w:rsidP="00825136">
            <w:pPr>
              <w:jc w:val="center"/>
              <w:rPr>
                <w:rFonts w:eastAsia="Arial Unicode MS"/>
              </w:rPr>
            </w:pPr>
            <w:r w:rsidRPr="00825136">
              <w:rPr>
                <w:rFonts w:eastAsia="Arial Unicode MS"/>
              </w:rPr>
              <w:t>90</w:t>
            </w:r>
          </w:p>
        </w:tc>
      </w:tr>
    </w:tbl>
    <w:p w:rsidR="00F05C7E" w:rsidRDefault="00F05C7E" w:rsidP="00F05C7E">
      <w:pPr>
        <w:ind w:firstLine="708"/>
        <w:jc w:val="both"/>
      </w:pPr>
    </w:p>
    <w:p w:rsidR="004328B1" w:rsidRPr="00125018" w:rsidRDefault="00DA61DD" w:rsidP="00F05C7E">
      <w:pPr>
        <w:ind w:firstLine="708"/>
        <w:jc w:val="both"/>
      </w:pPr>
      <w:r w:rsidRPr="00125018">
        <w:t>Verimlilik endeksi 2009 ve 2010 yıllarında önemli oranda artarak 2010 yılında 2008’deki seviyesinin iki katına kadar çıkmıştır. 2011 yılından itibaren ise verimlilik düşmeye başlamış ve 2012 yılında ise 86 puan olarak gerçeklemiştir. 2011 ve 2012 yılların</w:t>
      </w:r>
      <w:r w:rsidR="004328B1" w:rsidRPr="00125018">
        <w:t xml:space="preserve">da üretimde yaşanan büyük oranlı düşüşe </w:t>
      </w:r>
      <w:r w:rsidRPr="00125018">
        <w:t xml:space="preserve">ve istihdamda yaşanan göreceli küçük değişime </w:t>
      </w:r>
      <w:r w:rsidR="004328B1" w:rsidRPr="00125018">
        <w:t>bağlı olarak, işgücü verimliliği bu yıl</w:t>
      </w:r>
      <w:r w:rsidRPr="00125018">
        <w:t>lar</w:t>
      </w:r>
      <w:r w:rsidR="004328B1" w:rsidRPr="00125018">
        <w:t>da önemli ölçüde azalmıştır.</w:t>
      </w:r>
      <w:r w:rsidR="007604E9">
        <w:t xml:space="preserve"> </w:t>
      </w:r>
      <w:r w:rsidR="003512EE">
        <w:t xml:space="preserve">Azalan işgücüne paralel olarak </w:t>
      </w:r>
      <w:r w:rsidR="007604E9">
        <w:t xml:space="preserve">2013 yılında verimlilikte bir miktar artış gerçekleşmiştir. </w:t>
      </w:r>
    </w:p>
    <w:p w:rsidR="004328B1" w:rsidRPr="00125018" w:rsidRDefault="004328B1" w:rsidP="0071243E">
      <w:pPr>
        <w:pStyle w:val="Balk3"/>
      </w:pPr>
      <w:bookmarkStart w:id="129" w:name="_Toc384116991"/>
      <w:r w:rsidRPr="00125018">
        <w:t>Kârlılık</w:t>
      </w:r>
      <w:bookmarkEnd w:id="129"/>
    </w:p>
    <w:tbl>
      <w:tblPr>
        <w:tblW w:w="4943"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610"/>
        <w:gridCol w:w="1298"/>
        <w:gridCol w:w="1295"/>
        <w:gridCol w:w="1295"/>
        <w:gridCol w:w="1295"/>
        <w:gridCol w:w="1195"/>
        <w:gridCol w:w="1194"/>
      </w:tblGrid>
      <w:tr w:rsidR="00825136" w:rsidRPr="00125018" w:rsidTr="00A83B7B">
        <w:trPr>
          <w:cantSplit/>
          <w:trHeight w:val="397"/>
          <w:tblHeader/>
        </w:trPr>
        <w:tc>
          <w:tcPr>
            <w:tcW w:w="877" w:type="pct"/>
            <w:vAlign w:val="center"/>
          </w:tcPr>
          <w:p w:rsidR="00825136" w:rsidRPr="00125018" w:rsidRDefault="00825136" w:rsidP="00125018">
            <w:pPr>
              <w:jc w:val="both"/>
            </w:pPr>
            <w:r w:rsidRPr="00125018">
              <w:t>Kâr</w:t>
            </w:r>
          </w:p>
        </w:tc>
        <w:tc>
          <w:tcPr>
            <w:tcW w:w="707" w:type="pct"/>
            <w:vAlign w:val="center"/>
          </w:tcPr>
          <w:p w:rsidR="00825136" w:rsidRPr="00125018" w:rsidRDefault="00825136" w:rsidP="003705F5">
            <w:pPr>
              <w:jc w:val="center"/>
            </w:pPr>
            <w:r w:rsidRPr="00125018">
              <w:t>2008</w:t>
            </w:r>
          </w:p>
        </w:tc>
        <w:tc>
          <w:tcPr>
            <w:tcW w:w="705" w:type="pct"/>
            <w:vAlign w:val="center"/>
          </w:tcPr>
          <w:p w:rsidR="00825136" w:rsidRPr="00125018" w:rsidRDefault="00825136" w:rsidP="003705F5">
            <w:pPr>
              <w:jc w:val="center"/>
            </w:pPr>
            <w:r w:rsidRPr="00125018">
              <w:t>2009</w:t>
            </w:r>
          </w:p>
        </w:tc>
        <w:tc>
          <w:tcPr>
            <w:tcW w:w="705" w:type="pct"/>
            <w:vAlign w:val="center"/>
          </w:tcPr>
          <w:p w:rsidR="00825136" w:rsidRPr="00125018" w:rsidRDefault="00825136" w:rsidP="003705F5">
            <w:pPr>
              <w:jc w:val="center"/>
            </w:pPr>
            <w:r w:rsidRPr="00125018">
              <w:t>2010</w:t>
            </w:r>
          </w:p>
        </w:tc>
        <w:tc>
          <w:tcPr>
            <w:tcW w:w="705" w:type="pct"/>
            <w:vAlign w:val="center"/>
          </w:tcPr>
          <w:p w:rsidR="00825136" w:rsidRPr="00125018" w:rsidRDefault="00825136" w:rsidP="003705F5">
            <w:pPr>
              <w:jc w:val="center"/>
            </w:pPr>
            <w:r w:rsidRPr="00125018">
              <w:t>2011</w:t>
            </w:r>
          </w:p>
        </w:tc>
        <w:tc>
          <w:tcPr>
            <w:tcW w:w="651" w:type="pct"/>
            <w:vAlign w:val="center"/>
          </w:tcPr>
          <w:p w:rsidR="00825136" w:rsidRPr="00125018" w:rsidRDefault="00825136" w:rsidP="00B17FE9">
            <w:pPr>
              <w:jc w:val="center"/>
            </w:pPr>
            <w:r w:rsidRPr="00125018">
              <w:t>2012</w:t>
            </w:r>
          </w:p>
        </w:tc>
        <w:tc>
          <w:tcPr>
            <w:tcW w:w="650" w:type="pct"/>
            <w:vAlign w:val="center"/>
          </w:tcPr>
          <w:p w:rsidR="00825136" w:rsidRPr="00125018" w:rsidRDefault="00825136" w:rsidP="00825136">
            <w:pPr>
              <w:jc w:val="center"/>
            </w:pPr>
            <w:r>
              <w:t>2013</w:t>
            </w:r>
          </w:p>
        </w:tc>
      </w:tr>
      <w:tr w:rsidR="00786818" w:rsidRPr="00125018" w:rsidTr="00786818">
        <w:trPr>
          <w:cantSplit/>
          <w:trHeight w:val="397"/>
        </w:trPr>
        <w:tc>
          <w:tcPr>
            <w:tcW w:w="877" w:type="pct"/>
            <w:vAlign w:val="center"/>
          </w:tcPr>
          <w:p w:rsidR="00786818" w:rsidRPr="00125018" w:rsidRDefault="00786818" w:rsidP="00125018">
            <w:pPr>
              <w:jc w:val="both"/>
            </w:pPr>
            <w:r>
              <w:t>Endeks</w:t>
            </w:r>
          </w:p>
        </w:tc>
        <w:tc>
          <w:tcPr>
            <w:tcW w:w="707" w:type="pct"/>
            <w:vAlign w:val="center"/>
          </w:tcPr>
          <w:p w:rsidR="00786818" w:rsidRPr="00786818" w:rsidRDefault="00821D16" w:rsidP="00786818">
            <w:pPr>
              <w:jc w:val="center"/>
              <w:rPr>
                <w:rFonts w:eastAsia="Arial Unicode MS"/>
              </w:rPr>
            </w:pPr>
            <w:r>
              <w:rPr>
                <w:rFonts w:eastAsia="Arial Unicode MS"/>
              </w:rPr>
              <w:t>(</w:t>
            </w:r>
            <w:r w:rsidR="00786818" w:rsidRPr="00786818">
              <w:rPr>
                <w:rFonts w:eastAsia="Arial Unicode MS"/>
              </w:rPr>
              <w:t>-</w:t>
            </w:r>
            <w:r>
              <w:rPr>
                <w:rFonts w:eastAsia="Arial Unicode MS"/>
              </w:rPr>
              <w:t>)</w:t>
            </w:r>
            <w:r w:rsidR="00786818" w:rsidRPr="00786818">
              <w:rPr>
                <w:rFonts w:eastAsia="Arial Unicode MS"/>
              </w:rPr>
              <w:t>100</w:t>
            </w:r>
          </w:p>
        </w:tc>
        <w:tc>
          <w:tcPr>
            <w:tcW w:w="705" w:type="pct"/>
            <w:vAlign w:val="center"/>
          </w:tcPr>
          <w:p w:rsidR="00786818" w:rsidRPr="00786818" w:rsidRDefault="00821D16" w:rsidP="00786818">
            <w:pPr>
              <w:jc w:val="center"/>
              <w:rPr>
                <w:rFonts w:eastAsia="Arial Unicode MS"/>
              </w:rPr>
            </w:pPr>
            <w:r>
              <w:rPr>
                <w:rFonts w:eastAsia="Arial Unicode MS"/>
              </w:rPr>
              <w:t>(</w:t>
            </w:r>
            <w:r w:rsidR="00786818" w:rsidRPr="00786818">
              <w:rPr>
                <w:rFonts w:eastAsia="Arial Unicode MS"/>
              </w:rPr>
              <w:t>-</w:t>
            </w:r>
            <w:r>
              <w:rPr>
                <w:rFonts w:eastAsia="Arial Unicode MS"/>
              </w:rPr>
              <w:t>)</w:t>
            </w:r>
            <w:r w:rsidR="00786818" w:rsidRPr="00786818">
              <w:rPr>
                <w:rFonts w:eastAsia="Arial Unicode MS"/>
              </w:rPr>
              <w:t>15</w:t>
            </w:r>
          </w:p>
        </w:tc>
        <w:tc>
          <w:tcPr>
            <w:tcW w:w="705" w:type="pct"/>
            <w:vAlign w:val="center"/>
          </w:tcPr>
          <w:p w:rsidR="00786818" w:rsidRPr="00786818" w:rsidRDefault="00786818" w:rsidP="00786818">
            <w:pPr>
              <w:jc w:val="center"/>
              <w:rPr>
                <w:rFonts w:eastAsia="Arial Unicode MS"/>
              </w:rPr>
            </w:pPr>
            <w:r w:rsidRPr="00786818">
              <w:rPr>
                <w:rFonts w:eastAsia="Arial Unicode MS"/>
              </w:rPr>
              <w:t>16</w:t>
            </w:r>
          </w:p>
        </w:tc>
        <w:tc>
          <w:tcPr>
            <w:tcW w:w="705" w:type="pct"/>
            <w:vAlign w:val="center"/>
          </w:tcPr>
          <w:p w:rsidR="00786818" w:rsidRPr="00786818" w:rsidRDefault="00821D16" w:rsidP="00786818">
            <w:pPr>
              <w:jc w:val="center"/>
              <w:rPr>
                <w:rFonts w:eastAsia="Arial Unicode MS"/>
              </w:rPr>
            </w:pPr>
            <w:r>
              <w:rPr>
                <w:rFonts w:eastAsia="Arial Unicode MS"/>
              </w:rPr>
              <w:t>(</w:t>
            </w:r>
            <w:r w:rsidR="00786818" w:rsidRPr="00786818">
              <w:rPr>
                <w:rFonts w:eastAsia="Arial Unicode MS"/>
              </w:rPr>
              <w:t>-</w:t>
            </w:r>
            <w:r>
              <w:rPr>
                <w:rFonts w:eastAsia="Arial Unicode MS"/>
              </w:rPr>
              <w:t>)</w:t>
            </w:r>
            <w:r w:rsidR="00786818" w:rsidRPr="00786818">
              <w:rPr>
                <w:rFonts w:eastAsia="Arial Unicode MS"/>
              </w:rPr>
              <w:t>16</w:t>
            </w:r>
          </w:p>
        </w:tc>
        <w:tc>
          <w:tcPr>
            <w:tcW w:w="651" w:type="pct"/>
            <w:vAlign w:val="center"/>
          </w:tcPr>
          <w:p w:rsidR="00786818" w:rsidRPr="00786818" w:rsidRDefault="00821D16" w:rsidP="00786818">
            <w:pPr>
              <w:jc w:val="center"/>
              <w:rPr>
                <w:rFonts w:eastAsia="Arial Unicode MS"/>
              </w:rPr>
            </w:pPr>
            <w:r>
              <w:rPr>
                <w:rFonts w:eastAsia="Arial Unicode MS"/>
              </w:rPr>
              <w:t>(</w:t>
            </w:r>
            <w:r w:rsidRPr="00786818">
              <w:rPr>
                <w:rFonts w:eastAsia="Arial Unicode MS"/>
              </w:rPr>
              <w:t>-</w:t>
            </w:r>
            <w:r>
              <w:rPr>
                <w:rFonts w:eastAsia="Arial Unicode MS"/>
              </w:rPr>
              <w:t>)</w:t>
            </w:r>
            <w:r w:rsidR="00786818" w:rsidRPr="00786818">
              <w:rPr>
                <w:rFonts w:eastAsia="Arial Unicode MS"/>
              </w:rPr>
              <w:t>70</w:t>
            </w:r>
          </w:p>
        </w:tc>
        <w:tc>
          <w:tcPr>
            <w:tcW w:w="650" w:type="pct"/>
            <w:vAlign w:val="center"/>
          </w:tcPr>
          <w:p w:rsidR="00786818" w:rsidRPr="00786818" w:rsidRDefault="00821D16" w:rsidP="00786818">
            <w:pPr>
              <w:jc w:val="center"/>
              <w:rPr>
                <w:rFonts w:eastAsia="Arial Unicode MS"/>
              </w:rPr>
            </w:pPr>
            <w:r>
              <w:rPr>
                <w:rFonts w:eastAsia="Arial Unicode MS"/>
              </w:rPr>
              <w:t>(</w:t>
            </w:r>
            <w:r w:rsidRPr="00786818">
              <w:rPr>
                <w:rFonts w:eastAsia="Arial Unicode MS"/>
              </w:rPr>
              <w:t>-</w:t>
            </w:r>
            <w:r>
              <w:rPr>
                <w:rFonts w:eastAsia="Arial Unicode MS"/>
              </w:rPr>
              <w:t>)</w:t>
            </w:r>
            <w:r w:rsidR="00786818" w:rsidRPr="00786818">
              <w:rPr>
                <w:rFonts w:eastAsia="Arial Unicode MS"/>
              </w:rPr>
              <w:t>108</w:t>
            </w:r>
          </w:p>
        </w:tc>
      </w:tr>
    </w:tbl>
    <w:p w:rsidR="00F05C7E" w:rsidRDefault="00F05C7E" w:rsidP="00F05C7E">
      <w:pPr>
        <w:ind w:firstLine="708"/>
        <w:jc w:val="both"/>
      </w:pPr>
    </w:p>
    <w:p w:rsidR="004328B1" w:rsidRPr="00125018" w:rsidRDefault="00786818" w:rsidP="00F05C7E">
      <w:pPr>
        <w:ind w:firstLine="708"/>
        <w:jc w:val="both"/>
      </w:pPr>
      <w:r>
        <w:t xml:space="preserve">Karlılık verisi diğer veriler gibi endeks olarak verilmekte, negatif değerler karlılığın negatif olduğu yılları yansıtmaktadır. </w:t>
      </w:r>
      <w:r w:rsidR="004A741A" w:rsidRPr="00125018">
        <w:t xml:space="preserve">Diğer ekonomik verilerde görülen trendin karlılık verisinde de görüldüğü, </w:t>
      </w:r>
      <w:r w:rsidR="00E629E2">
        <w:t>201</w:t>
      </w:r>
      <w:r>
        <w:t>0</w:t>
      </w:r>
      <w:r w:rsidR="004A741A" w:rsidRPr="00125018">
        <w:t xml:space="preserve"> yılına </w:t>
      </w:r>
      <w:r w:rsidR="00E629E2">
        <w:t xml:space="preserve">kadar </w:t>
      </w:r>
      <w:r>
        <w:t xml:space="preserve">olumlu </w:t>
      </w:r>
      <w:r w:rsidR="004A741A" w:rsidRPr="00125018">
        <w:t xml:space="preserve">olarak </w:t>
      </w:r>
      <w:r w:rsidR="00885FA7">
        <w:t>gelişen</w:t>
      </w:r>
      <w:r w:rsidR="004A741A" w:rsidRPr="00125018">
        <w:t xml:space="preserve"> karlılık verisinin bu yılda</w:t>
      </w:r>
      <w:r>
        <w:t xml:space="preserve"> ilk kez pozitif bir değer aldığı, 2011 yılından itibaren ise </w:t>
      </w:r>
      <w:r w:rsidRPr="00125018">
        <w:t>kötüleştiği</w:t>
      </w:r>
      <w:r>
        <w:t xml:space="preserve"> görülmektedir. 2013</w:t>
      </w:r>
      <w:r w:rsidR="004A741A" w:rsidRPr="00125018">
        <w:t xml:space="preserve"> yılında karlılık </w:t>
      </w:r>
      <w:r>
        <w:t xml:space="preserve">2008’deki seviyesinin de altına inmiştir. </w:t>
      </w:r>
    </w:p>
    <w:p w:rsidR="004328B1" w:rsidRPr="00125018" w:rsidRDefault="004328B1" w:rsidP="0071243E">
      <w:pPr>
        <w:pStyle w:val="Balk3"/>
      </w:pPr>
      <w:r w:rsidRPr="00125018">
        <w:t xml:space="preserve"> </w:t>
      </w:r>
      <w:bookmarkStart w:id="130" w:name="_Toc384116992"/>
      <w:r w:rsidRPr="00125018">
        <w:t>Değerlendirme</w:t>
      </w:r>
      <w:bookmarkEnd w:id="130"/>
    </w:p>
    <w:p w:rsidR="004573CF" w:rsidRDefault="004A741A" w:rsidP="00A83B7B">
      <w:pPr>
        <w:ind w:firstLine="708"/>
        <w:jc w:val="both"/>
      </w:pPr>
      <w:r w:rsidRPr="00125018">
        <w:t>PTA</w:t>
      </w:r>
      <w:r w:rsidR="004328B1" w:rsidRPr="00125018">
        <w:t xml:space="preserve"> üretimi, </w:t>
      </w:r>
      <w:r w:rsidR="00206672" w:rsidRPr="00125018">
        <w:t xml:space="preserve">inceleme dönemi başından 2010 yılına kadar %74 oranında artmış, kapasite kullanım oranı %100’ün üzerine çıkmıştır. 2011 ve özellikle 2012 yılında ise üretim önemli </w:t>
      </w:r>
      <w:r w:rsidR="0062750F">
        <w:t>ölçüde azalmıştır</w:t>
      </w:r>
      <w:r w:rsidR="007604E9">
        <w:t xml:space="preserve">. </w:t>
      </w:r>
      <w:r w:rsidR="0062750F">
        <w:t>Üretim miktarı 2013 yılında bir miktar daha gerileyerek inceleme döneminin en düşük seviyesine inmiştir</w:t>
      </w:r>
      <w:r w:rsidR="004328B1" w:rsidRPr="00125018">
        <w:t xml:space="preserve">. </w:t>
      </w:r>
      <w:r w:rsidR="00C63D7F">
        <w:t>2012 yılı sonundan itibaren</w:t>
      </w:r>
      <w:r w:rsidR="00206672" w:rsidRPr="00125018">
        <w:t xml:space="preserve"> </w:t>
      </w:r>
      <w:r w:rsidR="00C63D7F">
        <w:t>yerli üretici üretim faaliyetind</w:t>
      </w:r>
      <w:r w:rsidR="003512EE">
        <w:t>e duruşlar</w:t>
      </w:r>
      <w:r w:rsidR="00885FA7">
        <w:t xml:space="preserve"> yaşanmaya başlamış;</w:t>
      </w:r>
      <w:r w:rsidR="00206672" w:rsidRPr="00125018">
        <w:t xml:space="preserve"> </w:t>
      </w:r>
      <w:r w:rsidR="007604E9">
        <w:t>2013 yılında da fabrikada duruşlar</w:t>
      </w:r>
      <w:r w:rsidR="00C3353A">
        <w:t xml:space="preserve"> yaşanmaya devam etmiş</w:t>
      </w:r>
      <w:r w:rsidR="00885FA7">
        <w:t>tir</w:t>
      </w:r>
      <w:r w:rsidR="007604E9">
        <w:t xml:space="preserve">. Son üç yılda </w:t>
      </w:r>
      <w:r w:rsidR="00C3353A">
        <w:t>yurt içi satışlar,</w:t>
      </w:r>
      <w:r w:rsidR="00206672" w:rsidRPr="00125018">
        <w:t xml:space="preserve"> </w:t>
      </w:r>
      <w:r w:rsidR="004328B1" w:rsidRPr="00125018">
        <w:t>istihdam</w:t>
      </w:r>
      <w:r w:rsidR="00C3353A">
        <w:t>, kapasite kullanım oranı</w:t>
      </w:r>
      <w:r w:rsidR="004328B1" w:rsidRPr="00125018">
        <w:t xml:space="preserve"> </w:t>
      </w:r>
      <w:r w:rsidR="00C3353A">
        <w:t xml:space="preserve">ve karlılık </w:t>
      </w:r>
      <w:r w:rsidR="003512EE">
        <w:t>göstergelerinde de bozulma yaşandığı</w:t>
      </w:r>
      <w:r w:rsidR="004328B1" w:rsidRPr="00125018">
        <w:t xml:space="preserve"> görülmektedir. Bu açı</w:t>
      </w:r>
      <w:r w:rsidR="00206672" w:rsidRPr="00125018">
        <w:t>lar</w:t>
      </w:r>
      <w:r w:rsidR="004328B1" w:rsidRPr="00125018">
        <w:t>dan değerlendirildiğinde, yerli üretici firmanın incelenen dönem itibariyle ciddi zarara maruz kaldığı sonucuna varılmaktadır.</w:t>
      </w:r>
    </w:p>
    <w:p w:rsidR="004328B1" w:rsidRPr="00125018" w:rsidRDefault="004328B1" w:rsidP="00F05C7E">
      <w:pPr>
        <w:pStyle w:val="Balk2"/>
      </w:pPr>
      <w:bookmarkStart w:id="131" w:name="_Toc384116993"/>
      <w:r w:rsidRPr="00125018">
        <w:lastRenderedPageBreak/>
        <w:t>NEDENSELLİK BAĞI</w:t>
      </w:r>
      <w:bookmarkEnd w:id="131"/>
    </w:p>
    <w:p w:rsidR="004328B1" w:rsidRPr="00125018" w:rsidRDefault="004328B1" w:rsidP="00F05C7E">
      <w:pPr>
        <w:ind w:firstLine="708"/>
        <w:jc w:val="both"/>
      </w:pPr>
      <w:r w:rsidRPr="00125018">
        <w:t>Bu bölümde, soruşturma konusu ürünün ithalatındaki artış ile yerli üretimin ekonomik göstergelerinde tespit edilen bozulma arasındaki nedensellik ilişkisi incelenmiştir. Bu kapsamda, ekonomik göstergelerdeki bozulma ile ithalattaki artış eğilimlerinin uyumu, soruşturma konusu ürünün ithal ve yerli olanlarının piyasa koşulları ve diğer faktörlerin ciddi zarar veya ciddi zarar tehdidi üzerindeki etkisi araştırılmıştır.</w:t>
      </w:r>
    </w:p>
    <w:p w:rsidR="00F05C7E" w:rsidRPr="00F05C7E" w:rsidRDefault="00F05C7E" w:rsidP="00A85C10">
      <w:pPr>
        <w:pStyle w:val="ListeParagraf"/>
        <w:keepNext/>
        <w:numPr>
          <w:ilvl w:val="0"/>
          <w:numId w:val="7"/>
        </w:numPr>
        <w:spacing w:before="240" w:after="240" w:line="360" w:lineRule="auto"/>
        <w:contextualSpacing w:val="0"/>
        <w:outlineLvl w:val="2"/>
        <w:rPr>
          <w:rFonts w:ascii="Times New Roman" w:eastAsia="Times New Roman" w:hAnsi="Times New Roman" w:cs="Arial"/>
          <w:b/>
          <w:bCs/>
          <w:vanish/>
          <w:sz w:val="24"/>
          <w:szCs w:val="16"/>
          <w:highlight w:val="yellow"/>
          <w:lang w:eastAsia="tr-TR"/>
        </w:rPr>
      </w:pPr>
      <w:bookmarkStart w:id="132" w:name="_Toc365040428"/>
      <w:bookmarkStart w:id="133" w:name="_Toc365383376"/>
      <w:bookmarkStart w:id="134" w:name="_Toc380746387"/>
      <w:bookmarkStart w:id="135" w:name="_Toc381623891"/>
      <w:bookmarkStart w:id="136" w:name="_Toc381624066"/>
      <w:bookmarkStart w:id="137" w:name="_Toc381624240"/>
      <w:bookmarkStart w:id="138" w:name="_Toc381629424"/>
      <w:bookmarkStart w:id="139" w:name="_Toc381865101"/>
      <w:bookmarkStart w:id="140" w:name="_Toc381865954"/>
      <w:bookmarkStart w:id="141" w:name="_Toc381967971"/>
      <w:bookmarkStart w:id="142" w:name="_Toc383597528"/>
      <w:bookmarkStart w:id="143" w:name="_Toc383613933"/>
      <w:bookmarkStart w:id="144" w:name="_Toc383613978"/>
      <w:bookmarkStart w:id="145" w:name="_Toc383683791"/>
      <w:bookmarkStart w:id="146" w:name="_Toc383698001"/>
      <w:bookmarkStart w:id="147" w:name="_Toc383709935"/>
      <w:bookmarkStart w:id="148" w:name="_Toc383768424"/>
      <w:bookmarkStart w:id="149" w:name="_Toc383777628"/>
      <w:bookmarkStart w:id="150" w:name="_Toc383778361"/>
      <w:bookmarkStart w:id="151" w:name="_Toc384116994"/>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4328B1" w:rsidRPr="00FE55C1" w:rsidRDefault="004328B1" w:rsidP="0071243E">
      <w:pPr>
        <w:pStyle w:val="Balk3"/>
      </w:pPr>
      <w:bookmarkStart w:id="152" w:name="_Toc384116995"/>
      <w:r w:rsidRPr="00FE55C1">
        <w:t>Eğilimlerin</w:t>
      </w:r>
      <w:r w:rsidR="00C42474" w:rsidRPr="00FE55C1">
        <w:t xml:space="preserve"> çakışması</w:t>
      </w:r>
      <w:bookmarkEnd w:id="152"/>
    </w:p>
    <w:p w:rsidR="004328B1" w:rsidRPr="00125018" w:rsidRDefault="004328B1" w:rsidP="0053575C">
      <w:pPr>
        <w:ind w:firstLine="708"/>
        <w:jc w:val="both"/>
      </w:pPr>
      <w:r w:rsidRPr="00125018">
        <w:t>Soruşturma konusu ürünün ithalatının seyri ve yerli üretimin ekonomik göstergelerinin gelişimi</w:t>
      </w:r>
      <w:r w:rsidR="00821D16">
        <w:t>ne bakıldığında</w:t>
      </w:r>
      <w:r w:rsidRPr="00125018">
        <w:t xml:space="preserve"> soruşturma konusu ürünün ithalatındaki artış ile yerli üretimin ekonomik göstergelerinde</w:t>
      </w:r>
      <w:r w:rsidR="00FE55C1">
        <w:t>ki</w:t>
      </w:r>
      <w:r w:rsidRPr="00125018">
        <w:t xml:space="preserve"> bozulma arasında paralel bir seyir olduğu ortaya çıkmaktadır. </w:t>
      </w:r>
      <w:r w:rsidRPr="002C521A">
        <w:t xml:space="preserve">Üretimin ve yurt içi satışların yıllık </w:t>
      </w:r>
      <w:proofErr w:type="gramStart"/>
      <w:r w:rsidRPr="002C521A">
        <w:t>bazda</w:t>
      </w:r>
      <w:proofErr w:type="gramEnd"/>
      <w:r w:rsidRPr="002C521A">
        <w:t xml:space="preserve"> </w:t>
      </w:r>
      <w:r w:rsidR="00A75F99" w:rsidRPr="002C521A">
        <w:t xml:space="preserve">en düşük seviyeye </w:t>
      </w:r>
      <w:r w:rsidR="00B26687" w:rsidRPr="002C521A">
        <w:t>indiği</w:t>
      </w:r>
      <w:r w:rsidR="00A75F99" w:rsidRPr="002C521A">
        <w:t xml:space="preserve"> ve </w:t>
      </w:r>
      <w:r w:rsidR="0062750F" w:rsidRPr="002C521A">
        <w:t xml:space="preserve">fabrikanın </w:t>
      </w:r>
      <w:r w:rsidR="004F196D" w:rsidRPr="002C521A">
        <w:t>temel yıl 2008’den sonra en çok zararla karşı karşıya kaldığı 2012 yılında ve inceleme dönemindeki en çok zararın görüldüğü 2013 yılında</w:t>
      </w:r>
      <w:r w:rsidRPr="002C521A">
        <w:t xml:space="preserve">, soruşturma konusu ürünün ithalatının </w:t>
      </w:r>
      <w:r w:rsidR="00FE55C1" w:rsidRPr="002C521A">
        <w:t xml:space="preserve">sırasıyla </w:t>
      </w:r>
      <w:r w:rsidRPr="002C521A">
        <w:t>%</w:t>
      </w:r>
      <w:r w:rsidR="00A75F99" w:rsidRPr="002C521A">
        <w:t>31</w:t>
      </w:r>
      <w:r w:rsidRPr="002C521A">
        <w:t xml:space="preserve"> </w:t>
      </w:r>
      <w:r w:rsidR="00FE55C1" w:rsidRPr="002C521A">
        <w:t xml:space="preserve">ve %24 </w:t>
      </w:r>
      <w:r w:rsidRPr="002C521A">
        <w:t>oranında artış kaydettiği tespit edilmiştir.</w:t>
      </w:r>
      <w:r w:rsidRPr="00125018">
        <w:t xml:space="preserve"> Bu tespitler ışığında, soruşturma konusu ürünün ithalatında yaşanan artış ile yerli üretim üzerinde ortaya çıkan ciddi zarar arasında bir eşzamanlılık ilişkisinin bulunduğu sonucuna varılmaktadır.</w:t>
      </w:r>
    </w:p>
    <w:p w:rsidR="00AF6355" w:rsidRDefault="004328B1" w:rsidP="0071243E">
      <w:pPr>
        <w:pStyle w:val="Balk3"/>
      </w:pPr>
      <w:bookmarkStart w:id="153" w:name="_Toc384116996"/>
      <w:r w:rsidRPr="00125018">
        <w:t xml:space="preserve">Fiyat </w:t>
      </w:r>
      <w:r w:rsidR="00C42474" w:rsidRPr="00125018">
        <w:t>kırılması</w:t>
      </w:r>
      <w:bookmarkEnd w:id="153"/>
    </w:p>
    <w:p w:rsidR="00AF6355" w:rsidRDefault="00AF6355" w:rsidP="00AF6355">
      <w:pPr>
        <w:ind w:firstLine="708"/>
        <w:jc w:val="both"/>
      </w:pPr>
      <w:r w:rsidRPr="00125018">
        <w:t xml:space="preserve">Soruşturma konusu ürünün tedarik zinciri içerisinde aktörlerin ürün tercihini belirleyen önemli etkenlerin başında ürünün fiyatı olduğu bilinmektedir. Bu itibarla, yerli ve ithal tereftalik </w:t>
      </w:r>
      <w:proofErr w:type="spellStart"/>
      <w:r w:rsidRPr="00125018">
        <w:t>asitin</w:t>
      </w:r>
      <w:proofErr w:type="spellEnd"/>
      <w:r w:rsidRPr="00125018">
        <w:t xml:space="preserve"> fiyatını karşılaştırmak üzere hazırlanan tablo aşağıda yer almaktadır.</w:t>
      </w:r>
    </w:p>
    <w:p w:rsidR="00AF6355" w:rsidRPr="00125018" w:rsidRDefault="00AF6355" w:rsidP="00AF6355">
      <w:pPr>
        <w:ind w:firstLine="708"/>
        <w:jc w:val="both"/>
      </w:pPr>
    </w:p>
    <w:p w:rsidR="00AF6355" w:rsidRDefault="00AF6355" w:rsidP="00AF6355">
      <w:pPr>
        <w:ind w:firstLine="708"/>
        <w:jc w:val="both"/>
      </w:pPr>
      <w:r w:rsidRPr="00125018">
        <w:t>Tabloda, ithal ürün fiyatı</w:t>
      </w:r>
      <w:r>
        <w:t>,</w:t>
      </w:r>
      <w:r w:rsidRPr="00125018">
        <w:t xml:space="preserve"> yıllık ortalama döviz alış kuru kullanılarak hesaplanan yıllar iti</w:t>
      </w:r>
      <w:r>
        <w:t>bariyle CIF ithal birim fiyatına %2 oranında gümrükleme maliyetinin de eklenmesiyle oluşturulan fiyatı</w:t>
      </w:r>
      <w:r w:rsidRPr="00125018">
        <w:t xml:space="preserve"> göstermektedir. </w:t>
      </w:r>
      <w:r>
        <w:t>Y</w:t>
      </w:r>
      <w:r w:rsidRPr="00125018">
        <w:t>erli ürün fiyatı 1</w:t>
      </w:r>
      <w:r>
        <w:t xml:space="preserve"> ise</w:t>
      </w:r>
      <w:r w:rsidRPr="00125018">
        <w:t>, yerli üretimin yıllar itibariyle ağırlıklı o</w:t>
      </w:r>
      <w:r>
        <w:t xml:space="preserve">rtalama yurt içi satış fiyatına ton başına ortalama 5,5 ABD Doları tutarında yerli üretim ürünle ithal ürün arasındaki navlun farkının eklenmesiyle oluşturulan fiyatı </w:t>
      </w:r>
      <w:r w:rsidRPr="00125018">
        <w:t xml:space="preserve">ifade etmektedir. </w:t>
      </w:r>
      <w:r>
        <w:t>Bu sayede ithal ürün ve yerli ürünün kullanıcılara ulaştığındaki fiyatlarının karşılaştırılabilmesi amaçlanmıştır.</w:t>
      </w:r>
    </w:p>
    <w:p w:rsidR="00AF6355" w:rsidRDefault="00AF6355" w:rsidP="00AF6355">
      <w:pPr>
        <w:ind w:firstLine="708"/>
        <w:jc w:val="both"/>
      </w:pPr>
    </w:p>
    <w:p w:rsidR="00AF6355" w:rsidRDefault="00AF6355" w:rsidP="00AF6355">
      <w:pPr>
        <w:ind w:firstLine="708"/>
        <w:jc w:val="both"/>
      </w:pPr>
      <w:r w:rsidRPr="00125018">
        <w:t xml:space="preserve">Ayrıca, yerli üretimin 2010 yılı hariç inceleme dönemi boyunca </w:t>
      </w:r>
      <w:r>
        <w:t>zarar ederek</w:t>
      </w:r>
      <w:r w:rsidRPr="00125018">
        <w:t xml:space="preserve"> çalıştığı göz önüne alınarak yerli ürünün yıllar itibariyle “olması gereken” fiyatını gösteren yerli ürün fiyatı 2 oluşturulmuştur. Yerli ürün fiyatı 2, yerli üreticinin ticari maliyetine, </w:t>
      </w:r>
      <w:r>
        <w:t>kendisi tarafından Avrupa’daki PTA üreticilerinin ortalama k</w:t>
      </w:r>
      <w:r w:rsidRPr="00125018">
        <w:t>â</w:t>
      </w:r>
      <w:r>
        <w:t xml:space="preserve">rlılığı olduğu belirtilen </w:t>
      </w:r>
      <w:r w:rsidRPr="00125018">
        <w:t>%</w:t>
      </w:r>
      <w:r>
        <w:t>4</w:t>
      </w:r>
      <w:r w:rsidRPr="00125018">
        <w:t xml:space="preserve"> oranında makul bir kâr </w:t>
      </w:r>
      <w:r>
        <w:t xml:space="preserve">oranı ve ton başına 5,5 ABD Doları navlun farkı </w:t>
      </w:r>
      <w:r w:rsidRPr="00125018">
        <w:t>eklenerek hesaplanmıştır.</w:t>
      </w:r>
    </w:p>
    <w:p w:rsidR="00AF6355" w:rsidRDefault="00AF6355" w:rsidP="00AF6355">
      <w:pPr>
        <w:ind w:firstLine="708"/>
        <w:jc w:val="both"/>
      </w:pPr>
    </w:p>
    <w:p w:rsidR="000F29B2" w:rsidRDefault="00AF6355" w:rsidP="00AF6355">
      <w:pPr>
        <w:ind w:firstLine="708"/>
        <w:jc w:val="both"/>
      </w:pPr>
      <w:r>
        <w:t>Bu veriler</w:t>
      </w:r>
      <w:r w:rsidRPr="00125018">
        <w:t xml:space="preserve"> kullanılarak </w:t>
      </w:r>
      <w:r>
        <w:t>fiyat kırılması ve</w:t>
      </w:r>
      <w:r w:rsidRPr="00125018">
        <w:t xml:space="preserve"> fiyat bas</w:t>
      </w:r>
      <w:r>
        <w:t xml:space="preserve">kısı satırları oluşturulmuştur. Fiyat kırılması ithal eşya fiyatının yerli üretim eşyanın fiyatının ne kadar altında olduğunu göstermektedir. Fiyat baskısı ise, düşük ithal eşya fiyatları yüzünden yerli üreticinin fiyatını ne kadar düşürmek zorunda kaldığını ya da ithal eşyanın oluşturduğu rekabet olmasaydı yerli üreticilerin yapabileceği fiyat artışları sonucu oluşabilecek makul fiyat seviyesini anlayabilmek için kullanılmıştır.  </w:t>
      </w:r>
    </w:p>
    <w:p w:rsidR="000F29B2" w:rsidRDefault="000F29B2" w:rsidP="00AF6355">
      <w:pPr>
        <w:ind w:firstLine="708"/>
        <w:jc w:val="both"/>
      </w:pPr>
    </w:p>
    <w:p w:rsidR="000F29B2" w:rsidRDefault="000F29B2" w:rsidP="00AF6355">
      <w:pPr>
        <w:ind w:firstLine="708"/>
        <w:jc w:val="both"/>
      </w:pPr>
    </w:p>
    <w:p w:rsidR="00AF6355" w:rsidRDefault="00AF6355" w:rsidP="00AF6355">
      <w:pPr>
        <w:ind w:firstLine="708"/>
        <w:jc w:val="both"/>
      </w:pPr>
      <w:r>
        <w:t xml:space="preserve">   </w:t>
      </w:r>
    </w:p>
    <w:tbl>
      <w:tblPr>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057"/>
        <w:gridCol w:w="1039"/>
        <w:gridCol w:w="1038"/>
        <w:gridCol w:w="1040"/>
        <w:gridCol w:w="1038"/>
        <w:gridCol w:w="1038"/>
        <w:gridCol w:w="1038"/>
      </w:tblGrid>
      <w:tr w:rsidR="00AF6355" w:rsidRPr="00125018" w:rsidTr="00150318">
        <w:trPr>
          <w:cantSplit/>
          <w:trHeight w:val="397"/>
          <w:tblHeader/>
        </w:trPr>
        <w:tc>
          <w:tcPr>
            <w:tcW w:w="1645" w:type="pct"/>
            <w:tcBorders>
              <w:top w:val="double" w:sz="4" w:space="0" w:color="auto"/>
              <w:bottom w:val="nil"/>
              <w:right w:val="nil"/>
            </w:tcBorders>
            <w:vAlign w:val="center"/>
          </w:tcPr>
          <w:p w:rsidR="00AF6355" w:rsidRPr="00C30F00" w:rsidRDefault="00AF6355" w:rsidP="00FF2DF8">
            <w:pPr>
              <w:jc w:val="both"/>
            </w:pPr>
            <w:r w:rsidRPr="00C30F00">
              <w:lastRenderedPageBreak/>
              <w:t>Fiyat Kırılması</w:t>
            </w:r>
          </w:p>
        </w:tc>
        <w:tc>
          <w:tcPr>
            <w:tcW w:w="559" w:type="pct"/>
            <w:tcBorders>
              <w:top w:val="double" w:sz="4" w:space="0" w:color="auto"/>
              <w:left w:val="nil"/>
              <w:bottom w:val="nil"/>
            </w:tcBorders>
            <w:vAlign w:val="center"/>
          </w:tcPr>
          <w:p w:rsidR="00AF6355" w:rsidRPr="00C30F00" w:rsidRDefault="00AF6355" w:rsidP="00FF2DF8">
            <w:pPr>
              <w:jc w:val="center"/>
            </w:pPr>
            <w:r w:rsidRPr="00C30F00">
              <w:t>2008</w:t>
            </w:r>
          </w:p>
        </w:tc>
        <w:tc>
          <w:tcPr>
            <w:tcW w:w="559" w:type="pct"/>
            <w:tcBorders>
              <w:top w:val="double" w:sz="4" w:space="0" w:color="auto"/>
              <w:bottom w:val="nil"/>
            </w:tcBorders>
            <w:vAlign w:val="center"/>
          </w:tcPr>
          <w:p w:rsidR="00AF6355" w:rsidRPr="00C30F00" w:rsidRDefault="00AF6355" w:rsidP="00FF2DF8">
            <w:pPr>
              <w:jc w:val="center"/>
            </w:pPr>
            <w:r w:rsidRPr="00C30F00">
              <w:t>2009</w:t>
            </w:r>
          </w:p>
        </w:tc>
        <w:tc>
          <w:tcPr>
            <w:tcW w:w="560" w:type="pct"/>
            <w:tcBorders>
              <w:top w:val="double" w:sz="4" w:space="0" w:color="auto"/>
              <w:bottom w:val="nil"/>
            </w:tcBorders>
            <w:vAlign w:val="center"/>
          </w:tcPr>
          <w:p w:rsidR="00AF6355" w:rsidRPr="00C30F00" w:rsidRDefault="00AF6355" w:rsidP="00FF2DF8">
            <w:pPr>
              <w:jc w:val="center"/>
            </w:pPr>
            <w:r w:rsidRPr="00C30F00">
              <w:t>2010</w:t>
            </w:r>
          </w:p>
        </w:tc>
        <w:tc>
          <w:tcPr>
            <w:tcW w:w="559" w:type="pct"/>
            <w:tcBorders>
              <w:top w:val="double" w:sz="4" w:space="0" w:color="auto"/>
              <w:bottom w:val="nil"/>
            </w:tcBorders>
            <w:vAlign w:val="center"/>
          </w:tcPr>
          <w:p w:rsidR="00AF6355" w:rsidRPr="00C30F00" w:rsidRDefault="00AF6355" w:rsidP="00FF2DF8">
            <w:pPr>
              <w:jc w:val="center"/>
            </w:pPr>
            <w:r w:rsidRPr="00C30F00">
              <w:t>2011</w:t>
            </w:r>
          </w:p>
        </w:tc>
        <w:tc>
          <w:tcPr>
            <w:tcW w:w="559" w:type="pct"/>
            <w:tcBorders>
              <w:top w:val="double" w:sz="4" w:space="0" w:color="auto"/>
              <w:bottom w:val="nil"/>
            </w:tcBorders>
            <w:vAlign w:val="center"/>
          </w:tcPr>
          <w:p w:rsidR="00AF6355" w:rsidRPr="00C30F00" w:rsidRDefault="00AF6355" w:rsidP="00FF2DF8">
            <w:pPr>
              <w:jc w:val="center"/>
            </w:pPr>
            <w:r w:rsidRPr="00C30F00">
              <w:t>2012</w:t>
            </w:r>
          </w:p>
        </w:tc>
        <w:tc>
          <w:tcPr>
            <w:tcW w:w="560" w:type="pct"/>
            <w:tcBorders>
              <w:top w:val="double" w:sz="4" w:space="0" w:color="auto"/>
              <w:bottom w:val="nil"/>
            </w:tcBorders>
            <w:vAlign w:val="center"/>
          </w:tcPr>
          <w:p w:rsidR="00AF6355" w:rsidRPr="00C30F00" w:rsidRDefault="00AF6355" w:rsidP="00FF2DF8">
            <w:pPr>
              <w:jc w:val="center"/>
            </w:pPr>
            <w:r>
              <w:t>2013</w:t>
            </w:r>
          </w:p>
        </w:tc>
      </w:tr>
      <w:tr w:rsidR="00AF6355" w:rsidRPr="00125018" w:rsidTr="00150318">
        <w:trPr>
          <w:cantSplit/>
          <w:trHeight w:val="397"/>
        </w:trPr>
        <w:tc>
          <w:tcPr>
            <w:tcW w:w="1645" w:type="pct"/>
            <w:tcBorders>
              <w:top w:val="nil"/>
              <w:right w:val="nil"/>
            </w:tcBorders>
            <w:vAlign w:val="center"/>
          </w:tcPr>
          <w:p w:rsidR="00AF6355" w:rsidRPr="00125018" w:rsidRDefault="00AF6355" w:rsidP="00FF2DF8">
            <w:pPr>
              <w:jc w:val="both"/>
            </w:pPr>
            <w:r w:rsidRPr="00125018">
              <w:t>İthal Ürün Fiyatı (TL/Kg)</w:t>
            </w:r>
          </w:p>
        </w:tc>
        <w:tc>
          <w:tcPr>
            <w:tcW w:w="559" w:type="pct"/>
            <w:tcBorders>
              <w:top w:val="nil"/>
              <w:left w:val="nil"/>
            </w:tcBorders>
            <w:vAlign w:val="center"/>
          </w:tcPr>
          <w:p w:rsidR="00AF6355" w:rsidRPr="00B6039C" w:rsidRDefault="00AF6355" w:rsidP="00FF2DF8">
            <w:pPr>
              <w:jc w:val="center"/>
            </w:pPr>
            <w:r w:rsidRPr="00B6039C">
              <w:t>1,415</w:t>
            </w:r>
          </w:p>
        </w:tc>
        <w:tc>
          <w:tcPr>
            <w:tcW w:w="559" w:type="pct"/>
            <w:tcBorders>
              <w:top w:val="nil"/>
            </w:tcBorders>
            <w:vAlign w:val="center"/>
          </w:tcPr>
          <w:p w:rsidR="00AF6355" w:rsidRPr="00B6039C" w:rsidRDefault="00AF6355" w:rsidP="00FF2DF8">
            <w:pPr>
              <w:jc w:val="center"/>
            </w:pPr>
            <w:r w:rsidRPr="00B6039C">
              <w:t>1,343</w:t>
            </w:r>
          </w:p>
        </w:tc>
        <w:tc>
          <w:tcPr>
            <w:tcW w:w="560" w:type="pct"/>
            <w:tcBorders>
              <w:top w:val="nil"/>
            </w:tcBorders>
            <w:vAlign w:val="center"/>
          </w:tcPr>
          <w:p w:rsidR="00AF6355" w:rsidRPr="00B6039C" w:rsidRDefault="00AF6355" w:rsidP="00FF2DF8">
            <w:pPr>
              <w:jc w:val="center"/>
            </w:pPr>
            <w:r w:rsidRPr="00B6039C">
              <w:t>1,505</w:t>
            </w:r>
          </w:p>
        </w:tc>
        <w:tc>
          <w:tcPr>
            <w:tcW w:w="559" w:type="pct"/>
            <w:tcBorders>
              <w:top w:val="nil"/>
            </w:tcBorders>
            <w:vAlign w:val="center"/>
          </w:tcPr>
          <w:p w:rsidR="00AF6355" w:rsidRPr="00B6039C" w:rsidRDefault="00AF6355" w:rsidP="00FF2DF8">
            <w:pPr>
              <w:jc w:val="center"/>
            </w:pPr>
            <w:r w:rsidRPr="00B6039C">
              <w:t>2,330</w:t>
            </w:r>
          </w:p>
        </w:tc>
        <w:tc>
          <w:tcPr>
            <w:tcW w:w="559" w:type="pct"/>
            <w:tcBorders>
              <w:top w:val="nil"/>
            </w:tcBorders>
            <w:vAlign w:val="center"/>
          </w:tcPr>
          <w:p w:rsidR="00AF6355" w:rsidRPr="00B6039C" w:rsidRDefault="00AF6355" w:rsidP="00FF2DF8">
            <w:pPr>
              <w:jc w:val="center"/>
            </w:pPr>
            <w:r w:rsidRPr="00B6039C">
              <w:t>2,187</w:t>
            </w:r>
          </w:p>
        </w:tc>
        <w:tc>
          <w:tcPr>
            <w:tcW w:w="560" w:type="pct"/>
            <w:tcBorders>
              <w:top w:val="nil"/>
            </w:tcBorders>
            <w:vAlign w:val="center"/>
          </w:tcPr>
          <w:p w:rsidR="00AF6355" w:rsidRPr="00B6039C" w:rsidRDefault="00AF6355" w:rsidP="00FF2DF8">
            <w:pPr>
              <w:jc w:val="center"/>
            </w:pPr>
            <w:r w:rsidRPr="00B6039C">
              <w:t>2,261</w:t>
            </w:r>
          </w:p>
        </w:tc>
      </w:tr>
      <w:tr w:rsidR="00AF6355" w:rsidRPr="00125018" w:rsidTr="00150318">
        <w:trPr>
          <w:cantSplit/>
          <w:trHeight w:val="397"/>
        </w:trPr>
        <w:tc>
          <w:tcPr>
            <w:tcW w:w="1645" w:type="pct"/>
            <w:tcBorders>
              <w:right w:val="nil"/>
            </w:tcBorders>
            <w:vAlign w:val="center"/>
          </w:tcPr>
          <w:p w:rsidR="00AF6355" w:rsidRPr="002C521A" w:rsidRDefault="00AF6355" w:rsidP="00FF2DF8">
            <w:pPr>
              <w:jc w:val="both"/>
            </w:pPr>
            <w:r w:rsidRPr="002C521A">
              <w:t>Yerli Ürün Fiyatı 1 (TL/Kg)</w:t>
            </w:r>
          </w:p>
        </w:tc>
        <w:tc>
          <w:tcPr>
            <w:tcW w:w="559" w:type="pct"/>
            <w:tcBorders>
              <w:left w:val="nil"/>
            </w:tcBorders>
            <w:vAlign w:val="center"/>
          </w:tcPr>
          <w:p w:rsidR="00AF6355" w:rsidRPr="002C521A" w:rsidRDefault="00AF6355" w:rsidP="00FF2DF8">
            <w:pPr>
              <w:jc w:val="center"/>
            </w:pPr>
            <w:r w:rsidRPr="002C521A">
              <w:t>1,408</w:t>
            </w:r>
          </w:p>
        </w:tc>
        <w:tc>
          <w:tcPr>
            <w:tcW w:w="559" w:type="pct"/>
            <w:vAlign w:val="center"/>
          </w:tcPr>
          <w:p w:rsidR="00AF6355" w:rsidRPr="002C521A" w:rsidRDefault="00AF6355" w:rsidP="00FF2DF8">
            <w:pPr>
              <w:jc w:val="center"/>
            </w:pPr>
            <w:r w:rsidRPr="002C521A">
              <w:t>1,375</w:t>
            </w:r>
          </w:p>
        </w:tc>
        <w:tc>
          <w:tcPr>
            <w:tcW w:w="560" w:type="pct"/>
            <w:vAlign w:val="center"/>
          </w:tcPr>
          <w:p w:rsidR="00AF6355" w:rsidRPr="002C521A" w:rsidRDefault="00AF6355" w:rsidP="00FF2DF8">
            <w:pPr>
              <w:jc w:val="center"/>
            </w:pPr>
            <w:r w:rsidRPr="002C521A">
              <w:t>1,457</w:t>
            </w:r>
          </w:p>
        </w:tc>
        <w:tc>
          <w:tcPr>
            <w:tcW w:w="559" w:type="pct"/>
            <w:vAlign w:val="center"/>
          </w:tcPr>
          <w:p w:rsidR="00AF6355" w:rsidRPr="002C521A" w:rsidRDefault="00AF6355" w:rsidP="00FF2DF8">
            <w:pPr>
              <w:jc w:val="center"/>
            </w:pPr>
            <w:r w:rsidRPr="002C521A">
              <w:t>2,261</w:t>
            </w:r>
          </w:p>
        </w:tc>
        <w:tc>
          <w:tcPr>
            <w:tcW w:w="559" w:type="pct"/>
            <w:vAlign w:val="center"/>
          </w:tcPr>
          <w:p w:rsidR="00AF6355" w:rsidRPr="002C521A" w:rsidRDefault="00AF6355" w:rsidP="00FF2DF8">
            <w:pPr>
              <w:jc w:val="center"/>
            </w:pPr>
            <w:r w:rsidRPr="002C521A">
              <w:t>2,264</w:t>
            </w:r>
          </w:p>
        </w:tc>
        <w:tc>
          <w:tcPr>
            <w:tcW w:w="560" w:type="pct"/>
            <w:vAlign w:val="center"/>
          </w:tcPr>
          <w:p w:rsidR="00AF6355" w:rsidRPr="002C521A" w:rsidRDefault="00AF6355" w:rsidP="00FF2DF8">
            <w:pPr>
              <w:jc w:val="center"/>
            </w:pPr>
            <w:r w:rsidRPr="002C521A">
              <w:t>2,353</w:t>
            </w:r>
          </w:p>
        </w:tc>
      </w:tr>
      <w:tr w:rsidR="00AF6355" w:rsidRPr="00125018" w:rsidTr="00150318">
        <w:trPr>
          <w:cantSplit/>
          <w:trHeight w:val="397"/>
        </w:trPr>
        <w:tc>
          <w:tcPr>
            <w:tcW w:w="1645" w:type="pct"/>
            <w:tcBorders>
              <w:right w:val="nil"/>
            </w:tcBorders>
            <w:shd w:val="clear" w:color="auto" w:fill="auto"/>
            <w:vAlign w:val="center"/>
          </w:tcPr>
          <w:p w:rsidR="00AF6355" w:rsidRPr="002C521A" w:rsidRDefault="00AF6355" w:rsidP="00FF2DF8">
            <w:pPr>
              <w:jc w:val="both"/>
            </w:pPr>
            <w:r w:rsidRPr="002C521A">
              <w:t>Yerli Ürün Fiyatı 2 (TL/Kg)</w:t>
            </w:r>
          </w:p>
        </w:tc>
        <w:tc>
          <w:tcPr>
            <w:tcW w:w="559" w:type="pct"/>
            <w:tcBorders>
              <w:left w:val="nil"/>
            </w:tcBorders>
            <w:vAlign w:val="center"/>
          </w:tcPr>
          <w:p w:rsidR="00AF6355" w:rsidRPr="002C521A" w:rsidRDefault="00AF6355" w:rsidP="00FF2DF8">
            <w:pPr>
              <w:jc w:val="center"/>
            </w:pPr>
            <w:r w:rsidRPr="002C521A">
              <w:t>1,697</w:t>
            </w:r>
          </w:p>
        </w:tc>
        <w:tc>
          <w:tcPr>
            <w:tcW w:w="559" w:type="pct"/>
            <w:vAlign w:val="center"/>
          </w:tcPr>
          <w:p w:rsidR="00AF6355" w:rsidRPr="002C521A" w:rsidRDefault="00AF6355" w:rsidP="00FF2DF8">
            <w:pPr>
              <w:jc w:val="center"/>
            </w:pPr>
            <w:r w:rsidRPr="002C521A">
              <w:t>1,471</w:t>
            </w:r>
          </w:p>
        </w:tc>
        <w:tc>
          <w:tcPr>
            <w:tcW w:w="560" w:type="pct"/>
            <w:vAlign w:val="center"/>
          </w:tcPr>
          <w:p w:rsidR="00AF6355" w:rsidRPr="002C521A" w:rsidRDefault="00AF6355" w:rsidP="00FF2DF8">
            <w:pPr>
              <w:jc w:val="center"/>
            </w:pPr>
            <w:r w:rsidRPr="002C521A">
              <w:t>1,465</w:t>
            </w:r>
          </w:p>
        </w:tc>
        <w:tc>
          <w:tcPr>
            <w:tcW w:w="559" w:type="pct"/>
            <w:vAlign w:val="center"/>
          </w:tcPr>
          <w:p w:rsidR="00AF6355" w:rsidRPr="002C521A" w:rsidRDefault="00AF6355" w:rsidP="00FF2DF8">
            <w:pPr>
              <w:jc w:val="center"/>
            </w:pPr>
            <w:r w:rsidRPr="002C521A">
              <w:t>2,387</w:t>
            </w:r>
          </w:p>
        </w:tc>
        <w:tc>
          <w:tcPr>
            <w:tcW w:w="559" w:type="pct"/>
            <w:vAlign w:val="center"/>
          </w:tcPr>
          <w:p w:rsidR="00AF6355" w:rsidRPr="002C521A" w:rsidRDefault="00AF6355" w:rsidP="00FF2DF8">
            <w:pPr>
              <w:jc w:val="center"/>
            </w:pPr>
            <w:r w:rsidRPr="002C521A">
              <w:t>2,580</w:t>
            </w:r>
          </w:p>
        </w:tc>
        <w:tc>
          <w:tcPr>
            <w:tcW w:w="560" w:type="pct"/>
            <w:vAlign w:val="center"/>
          </w:tcPr>
          <w:p w:rsidR="00AF6355" w:rsidRPr="002C521A" w:rsidRDefault="00AF6355" w:rsidP="00FF2DF8">
            <w:pPr>
              <w:jc w:val="center"/>
            </w:pPr>
            <w:r w:rsidRPr="002C521A">
              <w:t>2,862</w:t>
            </w:r>
          </w:p>
        </w:tc>
      </w:tr>
      <w:tr w:rsidR="00AF6355" w:rsidRPr="00125018" w:rsidTr="00150318">
        <w:trPr>
          <w:cantSplit/>
          <w:trHeight w:val="397"/>
        </w:trPr>
        <w:tc>
          <w:tcPr>
            <w:tcW w:w="1645" w:type="pct"/>
            <w:tcBorders>
              <w:right w:val="nil"/>
            </w:tcBorders>
            <w:vAlign w:val="center"/>
          </w:tcPr>
          <w:p w:rsidR="00AF6355" w:rsidRPr="00125018" w:rsidRDefault="00AF6355" w:rsidP="00FF2DF8">
            <w:pPr>
              <w:jc w:val="both"/>
            </w:pPr>
            <w:r w:rsidRPr="00125018">
              <w:t>Fiyat Kırılması   (%)</w:t>
            </w:r>
          </w:p>
        </w:tc>
        <w:tc>
          <w:tcPr>
            <w:tcW w:w="559" w:type="pct"/>
            <w:tcBorders>
              <w:left w:val="nil"/>
            </w:tcBorders>
            <w:vAlign w:val="center"/>
          </w:tcPr>
          <w:p w:rsidR="00AF6355" w:rsidRPr="00B6039C" w:rsidRDefault="00AF6355" w:rsidP="00FF2DF8">
            <w:pPr>
              <w:jc w:val="center"/>
            </w:pPr>
            <w:r w:rsidRPr="00B6039C">
              <w:t>-0,5</w:t>
            </w:r>
          </w:p>
        </w:tc>
        <w:tc>
          <w:tcPr>
            <w:tcW w:w="559" w:type="pct"/>
            <w:vAlign w:val="center"/>
          </w:tcPr>
          <w:p w:rsidR="00AF6355" w:rsidRPr="00B6039C" w:rsidRDefault="00AF6355" w:rsidP="00FF2DF8">
            <w:pPr>
              <w:jc w:val="center"/>
            </w:pPr>
            <w:r w:rsidRPr="00B6039C">
              <w:t>2,4</w:t>
            </w:r>
          </w:p>
        </w:tc>
        <w:tc>
          <w:tcPr>
            <w:tcW w:w="560" w:type="pct"/>
            <w:vAlign w:val="center"/>
          </w:tcPr>
          <w:p w:rsidR="00AF6355" w:rsidRPr="00B6039C" w:rsidRDefault="00AF6355" w:rsidP="00FF2DF8">
            <w:pPr>
              <w:jc w:val="center"/>
            </w:pPr>
            <w:r w:rsidRPr="00B6039C">
              <w:t>-3,2</w:t>
            </w:r>
          </w:p>
        </w:tc>
        <w:tc>
          <w:tcPr>
            <w:tcW w:w="559" w:type="pct"/>
            <w:vAlign w:val="center"/>
          </w:tcPr>
          <w:p w:rsidR="00AF6355" w:rsidRPr="00B6039C" w:rsidRDefault="00AF6355" w:rsidP="00FF2DF8">
            <w:pPr>
              <w:jc w:val="center"/>
            </w:pPr>
            <w:r w:rsidRPr="00B6039C">
              <w:t>-2,9</w:t>
            </w:r>
          </w:p>
        </w:tc>
        <w:tc>
          <w:tcPr>
            <w:tcW w:w="559" w:type="pct"/>
            <w:vAlign w:val="center"/>
          </w:tcPr>
          <w:p w:rsidR="00AF6355" w:rsidRPr="00B6039C" w:rsidRDefault="00AF6355" w:rsidP="00FF2DF8">
            <w:pPr>
              <w:jc w:val="center"/>
            </w:pPr>
            <w:r w:rsidRPr="00B6039C">
              <w:t>3,5</w:t>
            </w:r>
          </w:p>
        </w:tc>
        <w:tc>
          <w:tcPr>
            <w:tcW w:w="560" w:type="pct"/>
            <w:vAlign w:val="center"/>
          </w:tcPr>
          <w:p w:rsidR="00AF6355" w:rsidRPr="00B6039C" w:rsidRDefault="00AF6355" w:rsidP="00FF2DF8">
            <w:pPr>
              <w:jc w:val="center"/>
            </w:pPr>
            <w:r w:rsidRPr="00B6039C">
              <w:t>4,1</w:t>
            </w:r>
          </w:p>
        </w:tc>
      </w:tr>
      <w:tr w:rsidR="00AF6355" w:rsidRPr="00125018" w:rsidTr="00150318">
        <w:trPr>
          <w:cantSplit/>
          <w:trHeight w:val="397"/>
        </w:trPr>
        <w:tc>
          <w:tcPr>
            <w:tcW w:w="1645" w:type="pct"/>
            <w:tcBorders>
              <w:bottom w:val="double" w:sz="4" w:space="0" w:color="auto"/>
              <w:right w:val="nil"/>
            </w:tcBorders>
            <w:vAlign w:val="center"/>
          </w:tcPr>
          <w:p w:rsidR="00AF6355" w:rsidRPr="00125018" w:rsidRDefault="00AF6355" w:rsidP="00FF2DF8">
            <w:pPr>
              <w:jc w:val="both"/>
            </w:pPr>
            <w:r w:rsidRPr="00125018">
              <w:t>Fiyat Baskısı  (%)</w:t>
            </w:r>
          </w:p>
        </w:tc>
        <w:tc>
          <w:tcPr>
            <w:tcW w:w="559" w:type="pct"/>
            <w:tcBorders>
              <w:left w:val="nil"/>
            </w:tcBorders>
            <w:vAlign w:val="center"/>
          </w:tcPr>
          <w:p w:rsidR="00AF6355" w:rsidRPr="00B6039C" w:rsidRDefault="00AF6355" w:rsidP="00FF2DF8">
            <w:pPr>
              <w:jc w:val="center"/>
            </w:pPr>
            <w:r w:rsidRPr="00B6039C">
              <w:t>19,9</w:t>
            </w:r>
          </w:p>
        </w:tc>
        <w:tc>
          <w:tcPr>
            <w:tcW w:w="559" w:type="pct"/>
            <w:vAlign w:val="center"/>
          </w:tcPr>
          <w:p w:rsidR="00AF6355" w:rsidRPr="00B6039C" w:rsidRDefault="00AF6355" w:rsidP="00FF2DF8">
            <w:pPr>
              <w:jc w:val="center"/>
            </w:pPr>
            <w:r w:rsidRPr="00B6039C">
              <w:t>9,6</w:t>
            </w:r>
          </w:p>
        </w:tc>
        <w:tc>
          <w:tcPr>
            <w:tcW w:w="560" w:type="pct"/>
            <w:vAlign w:val="center"/>
          </w:tcPr>
          <w:p w:rsidR="00AF6355" w:rsidRPr="00B6039C" w:rsidRDefault="00AF6355" w:rsidP="00FF2DF8">
            <w:pPr>
              <w:jc w:val="center"/>
            </w:pPr>
            <w:r w:rsidRPr="00B6039C">
              <w:t>-2,7</w:t>
            </w:r>
          </w:p>
        </w:tc>
        <w:tc>
          <w:tcPr>
            <w:tcW w:w="559" w:type="pct"/>
            <w:vAlign w:val="center"/>
          </w:tcPr>
          <w:p w:rsidR="00AF6355" w:rsidRPr="00B6039C" w:rsidRDefault="00AF6355" w:rsidP="00FF2DF8">
            <w:pPr>
              <w:jc w:val="center"/>
            </w:pPr>
            <w:r w:rsidRPr="00B6039C">
              <w:t>2,5</w:t>
            </w:r>
          </w:p>
        </w:tc>
        <w:tc>
          <w:tcPr>
            <w:tcW w:w="559" w:type="pct"/>
            <w:vAlign w:val="center"/>
          </w:tcPr>
          <w:p w:rsidR="00AF6355" w:rsidRPr="00B6039C" w:rsidRDefault="00AF6355" w:rsidP="00FF2DF8">
            <w:pPr>
              <w:jc w:val="center"/>
            </w:pPr>
            <w:r w:rsidRPr="00B6039C">
              <w:t>18,0</w:t>
            </w:r>
          </w:p>
        </w:tc>
        <w:tc>
          <w:tcPr>
            <w:tcW w:w="560" w:type="pct"/>
            <w:vAlign w:val="center"/>
          </w:tcPr>
          <w:p w:rsidR="00AF6355" w:rsidRPr="00B6039C" w:rsidRDefault="00AF6355" w:rsidP="00FF2DF8">
            <w:pPr>
              <w:jc w:val="center"/>
            </w:pPr>
            <w:r w:rsidRPr="00B6039C">
              <w:t>26,6</w:t>
            </w:r>
          </w:p>
        </w:tc>
      </w:tr>
    </w:tbl>
    <w:p w:rsidR="00AF6355" w:rsidRDefault="00AF6355" w:rsidP="00AF6355">
      <w:pPr>
        <w:jc w:val="both"/>
      </w:pPr>
    </w:p>
    <w:p w:rsidR="00AF6355" w:rsidRDefault="00AF6355" w:rsidP="00AF6355">
      <w:pPr>
        <w:ind w:firstLine="708"/>
        <w:jc w:val="both"/>
      </w:pPr>
      <w:r w:rsidRPr="00125018">
        <w:t xml:space="preserve">Tabloda görüldüğü üzere, ithal ürünün fiyatı incelenen dönem içerisinde </w:t>
      </w:r>
      <w:r>
        <w:t>genel olarak artan bir eğilim göstermekte olup 2009 ve 2012 yıllarında bir önceki yıla göre düşmüştür.</w:t>
      </w:r>
      <w:r w:rsidRPr="00125018">
        <w:t xml:space="preserve"> Buna paralel olarak, yerli ürün fiyatı </w:t>
      </w:r>
      <w:r>
        <w:t>1 de 2009 yılı haricinde</w:t>
      </w:r>
      <w:r w:rsidRPr="00125018">
        <w:t xml:space="preserve"> artış göstermiştir. Fiyat kırılması </w:t>
      </w:r>
      <w:r>
        <w:t xml:space="preserve">2008, </w:t>
      </w:r>
      <w:r w:rsidRPr="00125018">
        <w:t>2010 ve 2011 yıllarında negatif olarak gerçekleşmiştir</w:t>
      </w:r>
      <w:r>
        <w:t>.</w:t>
      </w:r>
      <w:r w:rsidRPr="00125018">
        <w:t xml:space="preserve"> </w:t>
      </w:r>
      <w:r>
        <w:t>2009, 2012 ve 2013</w:t>
      </w:r>
      <w:r w:rsidRPr="00125018">
        <w:t xml:space="preserve"> yıllarında </w:t>
      </w:r>
      <w:r>
        <w:t xml:space="preserve">ise </w:t>
      </w:r>
      <w:r w:rsidRPr="00125018">
        <w:t>ithal ürün yerli ürün</w:t>
      </w:r>
      <w:r>
        <w:t>ün fiyatını sırasıyla %2,4, %3,5</w:t>
      </w:r>
      <w:r w:rsidRPr="00125018">
        <w:t xml:space="preserve"> </w:t>
      </w:r>
      <w:r>
        <w:t xml:space="preserve">ve %4,1 </w:t>
      </w:r>
      <w:r w:rsidRPr="00125018">
        <w:t xml:space="preserve">oranında kırmıştır. </w:t>
      </w:r>
    </w:p>
    <w:p w:rsidR="00AF6355" w:rsidRDefault="00AF6355" w:rsidP="00AF6355">
      <w:pPr>
        <w:ind w:firstLine="708"/>
        <w:jc w:val="both"/>
      </w:pPr>
    </w:p>
    <w:p w:rsidR="00AF6355" w:rsidRDefault="00AF6355" w:rsidP="00AF6355">
      <w:pPr>
        <w:ind w:firstLine="708"/>
        <w:jc w:val="both"/>
      </w:pPr>
      <w:r>
        <w:t>Yerli ürünün fiyatının ithal ürünün fiyatının altında seyrettiği</w:t>
      </w:r>
      <w:r w:rsidRPr="00125018">
        <w:t xml:space="preserve"> 2010 ve 2011 yılarında yerli üreticinin kapasite kullanım oranı ve yurt içi satışları inceleme dönemindeki en yüksek değerleri almıştır. Bu iki yıl, ithalatın yıllık ortalama %5 artış oranıyla</w:t>
      </w:r>
      <w:r>
        <w:t>,</w:t>
      </w:r>
      <w:r w:rsidRPr="00125018">
        <w:t xml:space="preserve"> görece ılımlı bir şekilde arttığı iki yıl olarak görülmektedir. 2012 yılında ise ith</w:t>
      </w:r>
      <w:r>
        <w:t>al ürün, yerli ürünün fiyatını %3,5 oranında kırmış; bu eğilim 2013 yılında da %4,1’e yükselerek devam etmiştir.</w:t>
      </w:r>
      <w:r w:rsidRPr="00125018">
        <w:t xml:space="preserve"> Bu değişimde 2012 yılında</w:t>
      </w:r>
      <w:r>
        <w:t>,</w:t>
      </w:r>
      <w:r w:rsidRPr="00125018">
        <w:t xml:space="preserve"> Türkiye’ye ihracata başlayan Portekiz’den gelen ortalama ithal bi</w:t>
      </w:r>
      <w:r>
        <w:t xml:space="preserve">rim fiyatının altındaki ithalat, 2013 yılında ise ithalatında önemli artış gerçekleşen Güney Kore’den gelen </w:t>
      </w:r>
      <w:r w:rsidRPr="00125018">
        <w:t>ortalama ithal bi</w:t>
      </w:r>
      <w:r>
        <w:t xml:space="preserve">rim fiyatının altındaki ithalat </w:t>
      </w:r>
      <w:r w:rsidRPr="00125018">
        <w:t xml:space="preserve">etkili olmuştur. </w:t>
      </w:r>
    </w:p>
    <w:p w:rsidR="00AF6355" w:rsidRPr="00125018" w:rsidRDefault="00AF6355" w:rsidP="00AF6355">
      <w:pPr>
        <w:ind w:firstLine="708"/>
        <w:jc w:val="both"/>
      </w:pPr>
      <w:r w:rsidRPr="00125018">
        <w:t xml:space="preserve">   </w:t>
      </w:r>
    </w:p>
    <w:p w:rsidR="00AF6355" w:rsidRPr="00AF6355" w:rsidRDefault="00AF6355" w:rsidP="008C799E">
      <w:pPr>
        <w:ind w:firstLine="708"/>
      </w:pPr>
      <w:r w:rsidRPr="00125018">
        <w:t>Yerli üreticinin ticari maliyetine ekle</w:t>
      </w:r>
      <w:r>
        <w:t>nen %4</w:t>
      </w:r>
      <w:r w:rsidRPr="00125018">
        <w:t xml:space="preserve"> oranındaki karla oluşturulan yerli ürün fiyatı </w:t>
      </w:r>
      <w:r>
        <w:t xml:space="preserve">2 </w:t>
      </w:r>
      <w:r w:rsidRPr="00125018">
        <w:t xml:space="preserve">ile ithal birim fiyatları karşılaştırıldığında yerli üreticinin ithal ürün nedeniyle </w:t>
      </w:r>
      <w:r>
        <w:t xml:space="preserve">özellikle son iki yılda </w:t>
      </w:r>
      <w:r w:rsidRPr="00125018">
        <w:t xml:space="preserve">bir fiyat baskısıyla karşılaştığı görülmektedir.  </w:t>
      </w:r>
    </w:p>
    <w:p w:rsidR="00AF6355" w:rsidRDefault="004328B1" w:rsidP="00AF6355">
      <w:pPr>
        <w:pStyle w:val="Balk3"/>
      </w:pPr>
      <w:r w:rsidRPr="00125018">
        <w:t xml:space="preserve"> </w:t>
      </w:r>
      <w:r w:rsidR="00AF6355">
        <w:t>İhracat</w:t>
      </w:r>
    </w:p>
    <w:p w:rsidR="00AF6355" w:rsidRDefault="00AF6355" w:rsidP="00AF6355">
      <w:pPr>
        <w:ind w:firstLine="708"/>
        <w:jc w:val="both"/>
      </w:pPr>
      <w:r w:rsidRPr="00125018">
        <w:t xml:space="preserve">İlgili taraflar yerli sanayinin uğradığı ciddi zararın bir başka sebebinin ise yerli üreticinin ihracatında görülen düşüş olduğunu öne sürmüşlerdir. Bu çerçevede, başvuru sahibi yerli üreticinin yıllar itibariyle yurt dışı satışlarına ilişkin </w:t>
      </w:r>
      <w:r>
        <w:t>endeks</w:t>
      </w:r>
      <w:r w:rsidRPr="00125018">
        <w:t xml:space="preserve"> aşağıdaki tabloda yer almaktadır.</w:t>
      </w:r>
    </w:p>
    <w:p w:rsidR="00AF6355" w:rsidRPr="00125018" w:rsidRDefault="00AF6355" w:rsidP="00AF6355">
      <w:pPr>
        <w:jc w:val="both"/>
      </w:pPr>
    </w:p>
    <w:tbl>
      <w:tblPr>
        <w:tblW w:w="5001"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226"/>
        <w:gridCol w:w="1011"/>
        <w:gridCol w:w="1011"/>
        <w:gridCol w:w="1011"/>
        <w:gridCol w:w="1011"/>
        <w:gridCol w:w="1011"/>
        <w:gridCol w:w="1009"/>
      </w:tblGrid>
      <w:tr w:rsidR="00AF6355" w:rsidRPr="00125018" w:rsidTr="00FF2DF8">
        <w:trPr>
          <w:cantSplit/>
          <w:trHeight w:val="397"/>
          <w:tblHeader/>
        </w:trPr>
        <w:tc>
          <w:tcPr>
            <w:tcW w:w="1736" w:type="pct"/>
            <w:tcBorders>
              <w:top w:val="double" w:sz="4" w:space="0" w:color="auto"/>
              <w:bottom w:val="nil"/>
              <w:right w:val="nil"/>
            </w:tcBorders>
            <w:vAlign w:val="center"/>
          </w:tcPr>
          <w:p w:rsidR="00AF6355" w:rsidRPr="00125018" w:rsidRDefault="00AF6355" w:rsidP="00FF2DF8">
            <w:pPr>
              <w:jc w:val="both"/>
            </w:pPr>
            <w:r w:rsidRPr="00125018">
              <w:t>Yurt Dışı Satışlar</w:t>
            </w:r>
            <w:r>
              <w:t xml:space="preserve"> (YDS)</w:t>
            </w:r>
          </w:p>
        </w:tc>
        <w:tc>
          <w:tcPr>
            <w:tcW w:w="544" w:type="pct"/>
            <w:tcBorders>
              <w:top w:val="double" w:sz="4" w:space="0" w:color="auto"/>
              <w:left w:val="nil"/>
              <w:bottom w:val="nil"/>
            </w:tcBorders>
            <w:vAlign w:val="center"/>
          </w:tcPr>
          <w:p w:rsidR="00AF6355" w:rsidRPr="00125018" w:rsidRDefault="00AF6355" w:rsidP="00FF2DF8">
            <w:pPr>
              <w:jc w:val="center"/>
            </w:pPr>
            <w:r w:rsidRPr="00125018">
              <w:t>2008</w:t>
            </w:r>
          </w:p>
        </w:tc>
        <w:tc>
          <w:tcPr>
            <w:tcW w:w="544" w:type="pct"/>
            <w:tcBorders>
              <w:top w:val="double" w:sz="4" w:space="0" w:color="auto"/>
              <w:bottom w:val="nil"/>
            </w:tcBorders>
            <w:vAlign w:val="center"/>
          </w:tcPr>
          <w:p w:rsidR="00AF6355" w:rsidRPr="00125018" w:rsidRDefault="00AF6355" w:rsidP="00FF2DF8">
            <w:pPr>
              <w:jc w:val="center"/>
            </w:pPr>
            <w:r w:rsidRPr="00125018">
              <w:t>2009</w:t>
            </w:r>
          </w:p>
        </w:tc>
        <w:tc>
          <w:tcPr>
            <w:tcW w:w="544" w:type="pct"/>
            <w:tcBorders>
              <w:top w:val="double" w:sz="4" w:space="0" w:color="auto"/>
              <w:bottom w:val="nil"/>
            </w:tcBorders>
            <w:vAlign w:val="center"/>
          </w:tcPr>
          <w:p w:rsidR="00AF6355" w:rsidRPr="00125018" w:rsidRDefault="00AF6355" w:rsidP="00FF2DF8">
            <w:pPr>
              <w:jc w:val="center"/>
            </w:pPr>
            <w:r w:rsidRPr="00125018">
              <w:t>2010</w:t>
            </w:r>
          </w:p>
        </w:tc>
        <w:tc>
          <w:tcPr>
            <w:tcW w:w="544" w:type="pct"/>
            <w:tcBorders>
              <w:top w:val="double" w:sz="4" w:space="0" w:color="auto"/>
              <w:bottom w:val="nil"/>
            </w:tcBorders>
            <w:vAlign w:val="center"/>
          </w:tcPr>
          <w:p w:rsidR="00AF6355" w:rsidRPr="00125018" w:rsidRDefault="00AF6355" w:rsidP="00FF2DF8">
            <w:pPr>
              <w:jc w:val="center"/>
            </w:pPr>
            <w:r w:rsidRPr="00125018">
              <w:t>2011</w:t>
            </w:r>
          </w:p>
        </w:tc>
        <w:tc>
          <w:tcPr>
            <w:tcW w:w="544" w:type="pct"/>
            <w:tcBorders>
              <w:top w:val="double" w:sz="4" w:space="0" w:color="auto"/>
              <w:bottom w:val="nil"/>
            </w:tcBorders>
            <w:vAlign w:val="center"/>
          </w:tcPr>
          <w:p w:rsidR="00AF6355" w:rsidRPr="00125018" w:rsidRDefault="00AF6355" w:rsidP="00FF2DF8">
            <w:pPr>
              <w:jc w:val="center"/>
            </w:pPr>
            <w:r w:rsidRPr="00125018">
              <w:t>2012</w:t>
            </w:r>
          </w:p>
        </w:tc>
        <w:tc>
          <w:tcPr>
            <w:tcW w:w="543" w:type="pct"/>
            <w:tcBorders>
              <w:top w:val="double" w:sz="4" w:space="0" w:color="auto"/>
              <w:bottom w:val="nil"/>
            </w:tcBorders>
            <w:vAlign w:val="center"/>
          </w:tcPr>
          <w:p w:rsidR="00AF6355" w:rsidRPr="00125018" w:rsidRDefault="00AF6355" w:rsidP="00FF2DF8">
            <w:pPr>
              <w:jc w:val="center"/>
            </w:pPr>
            <w:r>
              <w:t>2013</w:t>
            </w:r>
          </w:p>
        </w:tc>
      </w:tr>
      <w:tr w:rsidR="00AF6355" w:rsidRPr="00125018" w:rsidTr="00FF2DF8">
        <w:trPr>
          <w:cantSplit/>
          <w:trHeight w:val="397"/>
        </w:trPr>
        <w:tc>
          <w:tcPr>
            <w:tcW w:w="1736" w:type="pct"/>
            <w:tcBorders>
              <w:top w:val="nil"/>
              <w:bottom w:val="nil"/>
              <w:right w:val="nil"/>
            </w:tcBorders>
            <w:vAlign w:val="center"/>
          </w:tcPr>
          <w:p w:rsidR="00AF6355" w:rsidRPr="00125018" w:rsidRDefault="00AF6355" w:rsidP="00FF2DF8">
            <w:pPr>
              <w:jc w:val="both"/>
            </w:pPr>
            <w:r w:rsidRPr="00125018">
              <w:t>Endeks</w:t>
            </w:r>
          </w:p>
        </w:tc>
        <w:tc>
          <w:tcPr>
            <w:tcW w:w="544" w:type="pct"/>
            <w:tcBorders>
              <w:left w:val="nil"/>
              <w:bottom w:val="nil"/>
            </w:tcBorders>
            <w:vAlign w:val="center"/>
          </w:tcPr>
          <w:p w:rsidR="00AF6355" w:rsidRPr="00125018" w:rsidRDefault="00AF6355" w:rsidP="00FF2DF8">
            <w:pPr>
              <w:jc w:val="center"/>
            </w:pPr>
            <w:r w:rsidRPr="00125018">
              <w:t>100</w:t>
            </w:r>
          </w:p>
        </w:tc>
        <w:tc>
          <w:tcPr>
            <w:tcW w:w="544" w:type="pct"/>
            <w:vAlign w:val="center"/>
          </w:tcPr>
          <w:p w:rsidR="00AF6355" w:rsidRPr="00125018" w:rsidRDefault="00AF6355" w:rsidP="00FF2DF8">
            <w:pPr>
              <w:jc w:val="center"/>
            </w:pPr>
            <w:r w:rsidRPr="00125018">
              <w:t>292</w:t>
            </w:r>
          </w:p>
        </w:tc>
        <w:tc>
          <w:tcPr>
            <w:tcW w:w="544" w:type="pct"/>
            <w:vAlign w:val="center"/>
          </w:tcPr>
          <w:p w:rsidR="00AF6355" w:rsidRPr="00125018" w:rsidRDefault="00AF6355" w:rsidP="00FF2DF8">
            <w:pPr>
              <w:jc w:val="center"/>
            </w:pPr>
            <w:r w:rsidRPr="00125018">
              <w:t>180</w:t>
            </w:r>
          </w:p>
        </w:tc>
        <w:tc>
          <w:tcPr>
            <w:tcW w:w="544" w:type="pct"/>
            <w:vAlign w:val="center"/>
          </w:tcPr>
          <w:p w:rsidR="00AF6355" w:rsidRPr="00125018" w:rsidRDefault="00AF6355" w:rsidP="00FF2DF8">
            <w:pPr>
              <w:jc w:val="center"/>
            </w:pPr>
            <w:r w:rsidRPr="00125018">
              <w:t>145</w:t>
            </w:r>
          </w:p>
        </w:tc>
        <w:tc>
          <w:tcPr>
            <w:tcW w:w="544" w:type="pct"/>
            <w:vAlign w:val="center"/>
          </w:tcPr>
          <w:p w:rsidR="00AF6355" w:rsidRPr="00125018" w:rsidRDefault="00AF6355" w:rsidP="00FF2DF8">
            <w:pPr>
              <w:jc w:val="center"/>
            </w:pPr>
            <w:r w:rsidRPr="00125018">
              <w:t>111</w:t>
            </w:r>
          </w:p>
        </w:tc>
        <w:tc>
          <w:tcPr>
            <w:tcW w:w="543" w:type="pct"/>
            <w:vAlign w:val="center"/>
          </w:tcPr>
          <w:p w:rsidR="00AF6355" w:rsidRPr="000D7268" w:rsidRDefault="00AF6355" w:rsidP="00FF2DF8">
            <w:pPr>
              <w:jc w:val="center"/>
            </w:pPr>
            <w:r w:rsidRPr="000D7268">
              <w:t>22</w:t>
            </w:r>
          </w:p>
        </w:tc>
      </w:tr>
      <w:tr w:rsidR="00AF6355" w:rsidRPr="00125018" w:rsidTr="00FF2DF8">
        <w:trPr>
          <w:cantSplit/>
          <w:trHeight w:val="397"/>
        </w:trPr>
        <w:tc>
          <w:tcPr>
            <w:tcW w:w="1736" w:type="pct"/>
            <w:tcBorders>
              <w:top w:val="nil"/>
              <w:bottom w:val="double" w:sz="4" w:space="0" w:color="auto"/>
              <w:right w:val="nil"/>
            </w:tcBorders>
            <w:vAlign w:val="center"/>
          </w:tcPr>
          <w:p w:rsidR="00AF6355" w:rsidRPr="00125018" w:rsidRDefault="00AF6355" w:rsidP="00FF2DF8">
            <w:pPr>
              <w:jc w:val="both"/>
            </w:pPr>
            <w:r>
              <w:t>YDS</w:t>
            </w:r>
            <w:r w:rsidRPr="00125018">
              <w:t>/Toplam Satışlar (%)</w:t>
            </w:r>
          </w:p>
        </w:tc>
        <w:tc>
          <w:tcPr>
            <w:tcW w:w="544" w:type="pct"/>
            <w:tcBorders>
              <w:top w:val="nil"/>
              <w:left w:val="nil"/>
              <w:bottom w:val="double" w:sz="4" w:space="0" w:color="auto"/>
            </w:tcBorders>
            <w:vAlign w:val="center"/>
          </w:tcPr>
          <w:p w:rsidR="00AF6355" w:rsidRPr="00125018" w:rsidRDefault="00AF6355" w:rsidP="00FF2DF8">
            <w:pPr>
              <w:jc w:val="center"/>
            </w:pPr>
            <w:r w:rsidRPr="00125018">
              <w:t>17</w:t>
            </w:r>
          </w:p>
        </w:tc>
        <w:tc>
          <w:tcPr>
            <w:tcW w:w="544" w:type="pct"/>
            <w:vAlign w:val="center"/>
          </w:tcPr>
          <w:p w:rsidR="00AF6355" w:rsidRPr="00125018" w:rsidRDefault="00AF6355" w:rsidP="00FF2DF8">
            <w:pPr>
              <w:jc w:val="center"/>
            </w:pPr>
            <w:r w:rsidRPr="00125018">
              <w:t>39</w:t>
            </w:r>
          </w:p>
        </w:tc>
        <w:tc>
          <w:tcPr>
            <w:tcW w:w="544" w:type="pct"/>
            <w:vAlign w:val="center"/>
          </w:tcPr>
          <w:p w:rsidR="00AF6355" w:rsidRPr="00125018" w:rsidRDefault="00AF6355" w:rsidP="00FF2DF8">
            <w:pPr>
              <w:jc w:val="center"/>
            </w:pPr>
            <w:r w:rsidRPr="00125018">
              <w:t>19</w:t>
            </w:r>
          </w:p>
        </w:tc>
        <w:tc>
          <w:tcPr>
            <w:tcW w:w="544" w:type="pct"/>
            <w:vAlign w:val="center"/>
          </w:tcPr>
          <w:p w:rsidR="00AF6355" w:rsidRPr="00125018" w:rsidRDefault="00AF6355" w:rsidP="00FF2DF8">
            <w:pPr>
              <w:jc w:val="center"/>
            </w:pPr>
            <w:r w:rsidRPr="00125018">
              <w:t>21</w:t>
            </w:r>
          </w:p>
        </w:tc>
        <w:tc>
          <w:tcPr>
            <w:tcW w:w="544" w:type="pct"/>
            <w:vAlign w:val="center"/>
          </w:tcPr>
          <w:p w:rsidR="00AF6355" w:rsidRPr="00125018" w:rsidRDefault="00AF6355" w:rsidP="00FF2DF8">
            <w:pPr>
              <w:jc w:val="center"/>
            </w:pPr>
            <w:r w:rsidRPr="00125018">
              <w:t>25</w:t>
            </w:r>
          </w:p>
        </w:tc>
        <w:tc>
          <w:tcPr>
            <w:tcW w:w="543" w:type="pct"/>
            <w:vAlign w:val="center"/>
          </w:tcPr>
          <w:p w:rsidR="00AF6355" w:rsidRPr="000D7268" w:rsidRDefault="00AF6355" w:rsidP="00FF2DF8">
            <w:pPr>
              <w:jc w:val="center"/>
            </w:pPr>
            <w:r w:rsidRPr="000D7268">
              <w:t>8</w:t>
            </w:r>
          </w:p>
        </w:tc>
      </w:tr>
    </w:tbl>
    <w:p w:rsidR="00AF6355" w:rsidRDefault="00AF6355" w:rsidP="00AF6355">
      <w:pPr>
        <w:ind w:firstLine="708"/>
        <w:jc w:val="both"/>
      </w:pPr>
    </w:p>
    <w:p w:rsidR="00AF6355" w:rsidRDefault="00AF6355" w:rsidP="00AF6355">
      <w:pPr>
        <w:ind w:firstLine="708"/>
        <w:jc w:val="both"/>
      </w:pPr>
      <w:r w:rsidRPr="00125018">
        <w:t>Yurt d</w:t>
      </w:r>
      <w:r>
        <w:t>ışı satış</w:t>
      </w:r>
      <w:r w:rsidRPr="00125018">
        <w:t xml:space="preserve"> </w:t>
      </w:r>
      <w:r>
        <w:t xml:space="preserve">endeksi </w:t>
      </w:r>
      <w:r w:rsidRPr="00125018">
        <w:t xml:space="preserve">2009 yılında </w:t>
      </w:r>
      <w:r>
        <w:t>%192 oranında artmış, i</w:t>
      </w:r>
      <w:r w:rsidRPr="00125018">
        <w:t xml:space="preserve">zleyen dönemlerde ise sürekli düşüş </w:t>
      </w:r>
      <w:r>
        <w:t>gösteren yurt dışı satışlar 2013 yılında 2008’deki seviyenin %22’sine gerilemiştir.</w:t>
      </w:r>
    </w:p>
    <w:p w:rsidR="00AF6355" w:rsidRDefault="00AF6355" w:rsidP="00AF6355">
      <w:pPr>
        <w:jc w:val="both"/>
      </w:pPr>
      <w:bookmarkStart w:id="154" w:name="OLE_LINK1"/>
    </w:p>
    <w:p w:rsidR="00AF6355" w:rsidRDefault="00AF6355" w:rsidP="00AF6355">
      <w:pPr>
        <w:ind w:firstLine="708"/>
        <w:jc w:val="both"/>
      </w:pPr>
      <w:r w:rsidRPr="00125018">
        <w:t xml:space="preserve">Diğer taraftan miktar bazında yurt dışı satışların yerli üreticinin toplam satışlarına oranına bakıldığında 2009 yılında bu oranın 2008 yılına göre </w:t>
      </w:r>
      <w:r>
        <w:t>2 katın üzerinde arttığı</w:t>
      </w:r>
      <w:r w:rsidRPr="00125018">
        <w:t xml:space="preserve"> görülmektedir. 2010 yılında ise mutlak yurt dışı satışlar gibi nispi yurt dışı satışların da gerilediği görülmektedir. Ancak, 2011 ve 2012 yıllarında yurt dışı satışların mutlak değer olarak düşmekle birlikte toplam satışlara oranla arttığı görülmektedir. 2009’da %19 olan bu </w:t>
      </w:r>
      <w:r w:rsidRPr="00125018">
        <w:lastRenderedPageBreak/>
        <w:t>oran 2011’de %21’e</w:t>
      </w:r>
      <w:r>
        <w:t>;</w:t>
      </w:r>
      <w:r w:rsidRPr="00125018">
        <w:t xml:space="preserve"> 2012 de ise %25’e yükselmiştir.</w:t>
      </w:r>
      <w:r>
        <w:t xml:space="preserve"> 2013 yılında ise ihracatın toplam satışlara oranı önemli ölçüde düşerek %8’e gerilemiştir. </w:t>
      </w:r>
    </w:p>
    <w:p w:rsidR="00AF6355" w:rsidRPr="00125018" w:rsidRDefault="00AF6355" w:rsidP="00AF6355">
      <w:pPr>
        <w:ind w:firstLine="708"/>
        <w:jc w:val="both"/>
      </w:pPr>
    </w:p>
    <w:p w:rsidR="00AF6355" w:rsidRDefault="00AF6355" w:rsidP="00AF6355">
      <w:pPr>
        <w:ind w:firstLine="708"/>
        <w:jc w:val="both"/>
      </w:pPr>
      <w:r w:rsidRPr="00125018">
        <w:t xml:space="preserve">Sonuç olarak, yerli üreticinin yurt dışı satışlarının </w:t>
      </w:r>
      <w:r>
        <w:t xml:space="preserve">2011-2013 </w:t>
      </w:r>
      <w:r w:rsidRPr="00125018">
        <w:t xml:space="preserve">yıllarında toplam üretim ve satış rakamlarına paralel olarak gerilediği görülmektedir. Ancak, aynı dönemde yerli üreticinin yurt dışı satışlarının </w:t>
      </w:r>
      <w:r>
        <w:t xml:space="preserve">2012 yılına kadar </w:t>
      </w:r>
      <w:r w:rsidRPr="00125018">
        <w:t xml:space="preserve">yurt içi satışlarına oranla daha az gerilediği ve 2012 yılında yerli üreticinin toplam satışları içindeki payının inceleme dönemindeki en yüksek ikinci orana yükseldiği görülmektedir. </w:t>
      </w:r>
      <w:bookmarkEnd w:id="154"/>
      <w:r>
        <w:t xml:space="preserve">2013 yılında ise </w:t>
      </w:r>
      <w:r w:rsidRPr="002C521A">
        <w:t>üretim ve satışlarda 2012 yılındaki seviye korunurken ihracatın satışlara oranı gerilemiştir. Firmanın karlılık oranı yurt dışı satışlarının toplam satışlara oranının % 39 ile en yüksek olduğu 2009 yılında negatif seyretmiş, buna mukabil yurt dışı satışların toplam satışlara oranının % 19 olduğu 2010 yılında ise pozitif bir değer almıştır.</w:t>
      </w:r>
    </w:p>
    <w:p w:rsidR="00AF6355" w:rsidRDefault="00AF6355" w:rsidP="00AF6355">
      <w:pPr>
        <w:ind w:firstLine="708"/>
        <w:jc w:val="both"/>
      </w:pPr>
    </w:p>
    <w:p w:rsidR="00AF6355" w:rsidRPr="00125018" w:rsidRDefault="00AF6355" w:rsidP="00AF6355">
      <w:pPr>
        <w:ind w:firstLine="708"/>
        <w:jc w:val="both"/>
      </w:pPr>
      <w:r w:rsidRPr="003E377A">
        <w:t xml:space="preserve">Bu çerçevede, izlediği seyir ve toplam satışlar içerisindeki ağırlığı itibariyle yurt dışı satışların oluşan ciddi zarar üzerinde etkisinin bulunmadığı, yurt dışı satışlardaki </w:t>
      </w:r>
      <w:r>
        <w:t>son yılda görülen azalmanın ekonomik</w:t>
      </w:r>
      <w:r w:rsidRPr="003E377A">
        <w:t xml:space="preserve"> durumdaki genel bozulmanın bir sonucu olduğu düşünülmektedir.</w:t>
      </w:r>
      <w:r w:rsidRPr="00125018">
        <w:t xml:space="preserve"> </w:t>
      </w:r>
    </w:p>
    <w:p w:rsidR="00B0060E" w:rsidRDefault="00B0060E" w:rsidP="00B0060E">
      <w:pPr>
        <w:pStyle w:val="Balk3"/>
      </w:pPr>
      <w:r>
        <w:t xml:space="preserve">Paraksilen </w:t>
      </w:r>
      <w:r w:rsidR="00C42474">
        <w:t>satışları</w:t>
      </w:r>
    </w:p>
    <w:p w:rsidR="00B0060E" w:rsidRDefault="00B0060E" w:rsidP="00B0060E">
      <w:pPr>
        <w:ind w:firstLine="708"/>
        <w:jc w:val="both"/>
      </w:pPr>
      <w:r w:rsidRPr="00125018">
        <w:t xml:space="preserve">Daha önce açıklandığı üzere PTA üretiminin ana girdisi </w:t>
      </w:r>
      <w:proofErr w:type="spellStart"/>
      <w:r w:rsidRPr="00125018">
        <w:t>paraksilendir</w:t>
      </w:r>
      <w:proofErr w:type="spellEnd"/>
      <w:r w:rsidRPr="00125018">
        <w:t xml:space="preserve">. Yerli üretici, üretim/akım şemasından anlaşılacağı üzere kendi </w:t>
      </w:r>
      <w:proofErr w:type="gramStart"/>
      <w:r w:rsidRPr="00125018">
        <w:t>aromatikler</w:t>
      </w:r>
      <w:proofErr w:type="gramEnd"/>
      <w:r w:rsidRPr="00125018">
        <w:t xml:space="preserve"> fabrikasında paraksilen üretmektedir.</w:t>
      </w:r>
      <w:r w:rsidRPr="00125018">
        <w:rPr>
          <w:rStyle w:val="DipnotBavurusu"/>
          <w:b/>
        </w:rPr>
        <w:footnoteReference w:id="24"/>
      </w:r>
      <w:r w:rsidRPr="00125018">
        <w:t xml:space="preserve"> Paraksilenin ana girdisi naftadır ve </w:t>
      </w:r>
      <w:proofErr w:type="gramStart"/>
      <w:r w:rsidRPr="00125018">
        <w:t>aromatikler</w:t>
      </w:r>
      <w:proofErr w:type="gramEnd"/>
      <w:r w:rsidRPr="00125018">
        <w:t xml:space="preserve"> fabrikasında paraksilen dışında, diğer fabrikalarda hammadde olarak kullanılan ve satışı yapılan farklı ürünler</w:t>
      </w:r>
      <w:r>
        <w:t xml:space="preserve"> </w:t>
      </w:r>
      <w:r w:rsidRPr="00125018">
        <w:t>de üretilmektedir. Yerli üreticinin paraksilen üretiminin bir kısmı PTA üretiminde kullanılmakta, bir kısmı ise yurt</w:t>
      </w:r>
      <w:r>
        <w:t xml:space="preserve"> </w:t>
      </w:r>
      <w:r w:rsidRPr="00125018">
        <w:t>içi ve yurt</w:t>
      </w:r>
      <w:r>
        <w:t xml:space="preserve"> </w:t>
      </w:r>
      <w:r w:rsidRPr="00125018">
        <w:t xml:space="preserve">dışı pazarlara satılmaktadır. </w:t>
      </w:r>
    </w:p>
    <w:p w:rsidR="00B0060E" w:rsidRPr="00125018" w:rsidRDefault="00B0060E" w:rsidP="00B0060E">
      <w:pPr>
        <w:ind w:firstLine="708"/>
        <w:jc w:val="both"/>
      </w:pPr>
    </w:p>
    <w:p w:rsidR="00B0060E" w:rsidRPr="00125018" w:rsidRDefault="00B0060E" w:rsidP="00B0060E">
      <w:pPr>
        <w:ind w:firstLine="708"/>
        <w:jc w:val="both"/>
      </w:pPr>
      <w:r w:rsidRPr="00125018">
        <w:t xml:space="preserve">Yerli üretici PTA fabrikasındaki kapasite kullanım oranına ya da fabrikadaki duruşa bağlı olarak </w:t>
      </w:r>
      <w:proofErr w:type="gramStart"/>
      <w:r w:rsidRPr="00125018">
        <w:t>aromatikler</w:t>
      </w:r>
      <w:proofErr w:type="gramEnd"/>
      <w:r w:rsidRPr="00125018">
        <w:t xml:space="preserve"> fabrikasında kapasite düşürememektedir.  Bu nedenle PTA fabrikası durduğu dönemlerde oluşan paraksilen fazlalığı, tesis içerisindeki depolama kapasitelerinin de kısıtlı olması nedeniyle zorunlu olarak satılmaktadır. </w:t>
      </w:r>
    </w:p>
    <w:p w:rsidR="00B0060E" w:rsidRPr="00125018" w:rsidRDefault="00B0060E" w:rsidP="00B0060E">
      <w:pPr>
        <w:jc w:val="both"/>
      </w:pPr>
    </w:p>
    <w:p w:rsidR="00B0060E" w:rsidRDefault="00B0060E" w:rsidP="00B0060E">
      <w:pPr>
        <w:ind w:firstLine="708"/>
        <w:jc w:val="both"/>
      </w:pPr>
      <w:r w:rsidRPr="00125018">
        <w:t xml:space="preserve">Aşağıdaki tabloda yerli üreticinin paraksilen üretimine ilişkin veriler yer almaktadır. Tablo incelendiğinde yerli üreticinin </w:t>
      </w:r>
      <w:r>
        <w:t xml:space="preserve">paraksilen satışlarının 2011 yılında bir önceki yıla göre düşerken </w:t>
      </w:r>
      <w:r w:rsidRPr="00125018">
        <w:t xml:space="preserve">2012 yılında </w:t>
      </w:r>
      <w:r>
        <w:t>arttığı</w:t>
      </w:r>
      <w:r w:rsidRPr="00125018">
        <w:t xml:space="preserve"> görülmektedir. </w:t>
      </w:r>
      <w:r>
        <w:t xml:space="preserve">2013 yılında paraksilen satışları 123 puana gerilemiştir.  </w:t>
      </w:r>
    </w:p>
    <w:p w:rsidR="00B0060E" w:rsidRDefault="00B0060E" w:rsidP="00B0060E">
      <w:pPr>
        <w:ind w:firstLine="708"/>
        <w:jc w:val="both"/>
      </w:pPr>
    </w:p>
    <w:tbl>
      <w:tblPr>
        <w:tblW w:w="4925" w:type="pct"/>
        <w:tblBorders>
          <w:top w:val="double" w:sz="4" w:space="0" w:color="auto"/>
          <w:left w:val="double" w:sz="4" w:space="0" w:color="auto"/>
          <w:bottom w:val="double" w:sz="4" w:space="0" w:color="auto"/>
          <w:right w:val="double" w:sz="4" w:space="0" w:color="auto"/>
        </w:tblBorders>
        <w:tblCellMar>
          <w:left w:w="70" w:type="dxa"/>
          <w:right w:w="70" w:type="dxa"/>
        </w:tblCellMar>
        <w:tblLook w:val="04A0" w:firstRow="1" w:lastRow="0" w:firstColumn="1" w:lastColumn="0" w:noHBand="0" w:noVBand="1"/>
      </w:tblPr>
      <w:tblGrid>
        <w:gridCol w:w="3301"/>
        <w:gridCol w:w="969"/>
        <w:gridCol w:w="969"/>
        <w:gridCol w:w="973"/>
        <w:gridCol w:w="969"/>
        <w:gridCol w:w="973"/>
        <w:gridCol w:w="920"/>
      </w:tblGrid>
      <w:tr w:rsidR="00B0060E" w:rsidRPr="00125018" w:rsidTr="00B0060E">
        <w:trPr>
          <w:cantSplit/>
          <w:trHeight w:val="397"/>
          <w:tblHeader/>
        </w:trPr>
        <w:tc>
          <w:tcPr>
            <w:tcW w:w="1818" w:type="pct"/>
            <w:tcBorders>
              <w:top w:val="double" w:sz="4" w:space="0" w:color="auto"/>
              <w:bottom w:val="nil"/>
              <w:right w:val="nil"/>
            </w:tcBorders>
            <w:shd w:val="clear" w:color="auto" w:fill="auto"/>
            <w:noWrap/>
            <w:vAlign w:val="center"/>
            <w:hideMark/>
          </w:tcPr>
          <w:p w:rsidR="00B0060E" w:rsidRPr="003705F5" w:rsidRDefault="00B0060E" w:rsidP="00B0060E">
            <w:pPr>
              <w:jc w:val="both"/>
              <w:rPr>
                <w:b/>
              </w:rPr>
            </w:pPr>
            <w:r w:rsidRPr="003705F5">
              <w:rPr>
                <w:b/>
              </w:rPr>
              <w:t>Paraksilen</w:t>
            </w:r>
          </w:p>
        </w:tc>
        <w:tc>
          <w:tcPr>
            <w:tcW w:w="534" w:type="pct"/>
            <w:tcBorders>
              <w:left w:val="nil"/>
            </w:tcBorders>
            <w:shd w:val="clear" w:color="auto" w:fill="auto"/>
            <w:noWrap/>
            <w:vAlign w:val="center"/>
            <w:hideMark/>
          </w:tcPr>
          <w:p w:rsidR="00B0060E" w:rsidRPr="00125018" w:rsidRDefault="00B0060E" w:rsidP="00B0060E">
            <w:pPr>
              <w:jc w:val="center"/>
            </w:pPr>
            <w:r w:rsidRPr="00125018">
              <w:t>2008</w:t>
            </w:r>
          </w:p>
        </w:tc>
        <w:tc>
          <w:tcPr>
            <w:tcW w:w="534" w:type="pct"/>
            <w:shd w:val="clear" w:color="auto" w:fill="auto"/>
            <w:noWrap/>
            <w:vAlign w:val="center"/>
            <w:hideMark/>
          </w:tcPr>
          <w:p w:rsidR="00B0060E" w:rsidRPr="00125018" w:rsidRDefault="00B0060E" w:rsidP="00B0060E">
            <w:pPr>
              <w:jc w:val="center"/>
            </w:pPr>
            <w:r w:rsidRPr="00125018">
              <w:t>2009</w:t>
            </w:r>
          </w:p>
        </w:tc>
        <w:tc>
          <w:tcPr>
            <w:tcW w:w="536" w:type="pct"/>
            <w:shd w:val="clear" w:color="auto" w:fill="auto"/>
            <w:noWrap/>
            <w:vAlign w:val="center"/>
            <w:hideMark/>
          </w:tcPr>
          <w:p w:rsidR="00B0060E" w:rsidRPr="00125018" w:rsidRDefault="00B0060E" w:rsidP="00B0060E">
            <w:pPr>
              <w:jc w:val="center"/>
            </w:pPr>
            <w:r w:rsidRPr="00125018">
              <w:t>2010</w:t>
            </w:r>
          </w:p>
        </w:tc>
        <w:tc>
          <w:tcPr>
            <w:tcW w:w="534" w:type="pct"/>
            <w:shd w:val="clear" w:color="auto" w:fill="auto"/>
            <w:noWrap/>
            <w:vAlign w:val="center"/>
            <w:hideMark/>
          </w:tcPr>
          <w:p w:rsidR="00B0060E" w:rsidRPr="00125018" w:rsidRDefault="00B0060E" w:rsidP="00B0060E">
            <w:pPr>
              <w:jc w:val="center"/>
            </w:pPr>
            <w:r w:rsidRPr="00125018">
              <w:t>2011</w:t>
            </w:r>
          </w:p>
        </w:tc>
        <w:tc>
          <w:tcPr>
            <w:tcW w:w="536" w:type="pct"/>
            <w:vAlign w:val="center"/>
          </w:tcPr>
          <w:p w:rsidR="00B0060E" w:rsidRPr="004438C9" w:rsidRDefault="00B0060E" w:rsidP="00B0060E">
            <w:pPr>
              <w:jc w:val="center"/>
            </w:pPr>
            <w:r w:rsidRPr="004438C9">
              <w:t>2012</w:t>
            </w:r>
          </w:p>
        </w:tc>
        <w:tc>
          <w:tcPr>
            <w:tcW w:w="507" w:type="pct"/>
            <w:shd w:val="clear" w:color="auto" w:fill="auto"/>
            <w:vAlign w:val="center"/>
          </w:tcPr>
          <w:p w:rsidR="00B0060E" w:rsidRPr="005D657A" w:rsidRDefault="00B0060E" w:rsidP="00B0060E">
            <w:pPr>
              <w:jc w:val="center"/>
            </w:pPr>
            <w:r w:rsidRPr="005D657A">
              <w:t>2013</w:t>
            </w:r>
          </w:p>
        </w:tc>
      </w:tr>
      <w:tr w:rsidR="00B0060E" w:rsidRPr="00125018" w:rsidTr="00B0060E">
        <w:trPr>
          <w:cantSplit/>
          <w:trHeight w:val="397"/>
        </w:trPr>
        <w:tc>
          <w:tcPr>
            <w:tcW w:w="1818" w:type="pct"/>
            <w:tcBorders>
              <w:top w:val="nil"/>
              <w:bottom w:val="nil"/>
              <w:right w:val="nil"/>
            </w:tcBorders>
            <w:shd w:val="clear" w:color="auto" w:fill="auto"/>
            <w:noWrap/>
            <w:vAlign w:val="center"/>
            <w:hideMark/>
          </w:tcPr>
          <w:p w:rsidR="00B0060E" w:rsidRPr="00125018" w:rsidRDefault="00B0060E" w:rsidP="00B0060E">
            <w:pPr>
              <w:jc w:val="both"/>
            </w:pPr>
            <w:r w:rsidRPr="00125018">
              <w:t>Kapasite (Ton)</w:t>
            </w:r>
          </w:p>
        </w:tc>
        <w:tc>
          <w:tcPr>
            <w:tcW w:w="534" w:type="pct"/>
            <w:tcBorders>
              <w:left w:val="nil"/>
            </w:tcBorders>
            <w:shd w:val="clear" w:color="auto" w:fill="auto"/>
            <w:noWrap/>
            <w:vAlign w:val="center"/>
            <w:hideMark/>
          </w:tcPr>
          <w:p w:rsidR="00B0060E" w:rsidRPr="00125018" w:rsidRDefault="00B0060E" w:rsidP="00B0060E">
            <w:pPr>
              <w:jc w:val="center"/>
            </w:pPr>
            <w:r w:rsidRPr="00125018">
              <w:t>140.000</w:t>
            </w:r>
          </w:p>
        </w:tc>
        <w:tc>
          <w:tcPr>
            <w:tcW w:w="534" w:type="pct"/>
            <w:shd w:val="clear" w:color="auto" w:fill="auto"/>
            <w:noWrap/>
            <w:vAlign w:val="center"/>
            <w:hideMark/>
          </w:tcPr>
          <w:p w:rsidR="00B0060E" w:rsidRPr="00125018" w:rsidRDefault="00B0060E" w:rsidP="00B0060E">
            <w:pPr>
              <w:jc w:val="center"/>
            </w:pPr>
            <w:r w:rsidRPr="00125018">
              <w:t>140.000</w:t>
            </w:r>
          </w:p>
        </w:tc>
        <w:tc>
          <w:tcPr>
            <w:tcW w:w="536" w:type="pct"/>
            <w:shd w:val="clear" w:color="auto" w:fill="auto"/>
            <w:noWrap/>
            <w:vAlign w:val="center"/>
            <w:hideMark/>
          </w:tcPr>
          <w:p w:rsidR="00B0060E" w:rsidRPr="00125018" w:rsidRDefault="00B0060E" w:rsidP="00B0060E">
            <w:pPr>
              <w:jc w:val="center"/>
            </w:pPr>
            <w:r w:rsidRPr="00125018">
              <w:t>140.000</w:t>
            </w:r>
          </w:p>
        </w:tc>
        <w:tc>
          <w:tcPr>
            <w:tcW w:w="534" w:type="pct"/>
            <w:shd w:val="clear" w:color="auto" w:fill="auto"/>
            <w:noWrap/>
            <w:vAlign w:val="center"/>
            <w:hideMark/>
          </w:tcPr>
          <w:p w:rsidR="00B0060E" w:rsidRPr="00125018" w:rsidRDefault="00B0060E" w:rsidP="00B0060E">
            <w:pPr>
              <w:jc w:val="center"/>
            </w:pPr>
            <w:r w:rsidRPr="00125018">
              <w:t>140.000</w:t>
            </w:r>
          </w:p>
        </w:tc>
        <w:tc>
          <w:tcPr>
            <w:tcW w:w="536" w:type="pct"/>
            <w:vAlign w:val="center"/>
          </w:tcPr>
          <w:p w:rsidR="00B0060E" w:rsidRPr="004438C9" w:rsidRDefault="00B0060E" w:rsidP="00B0060E">
            <w:pPr>
              <w:jc w:val="center"/>
            </w:pPr>
            <w:r w:rsidRPr="004438C9">
              <w:t>140.000</w:t>
            </w:r>
          </w:p>
        </w:tc>
        <w:tc>
          <w:tcPr>
            <w:tcW w:w="507" w:type="pct"/>
            <w:shd w:val="clear" w:color="auto" w:fill="auto"/>
            <w:vAlign w:val="center"/>
          </w:tcPr>
          <w:p w:rsidR="00B0060E" w:rsidRPr="005D657A" w:rsidRDefault="00B0060E" w:rsidP="00B0060E">
            <w:pPr>
              <w:jc w:val="center"/>
            </w:pPr>
            <w:r w:rsidRPr="005D657A">
              <w:t>140.000</w:t>
            </w:r>
          </w:p>
        </w:tc>
      </w:tr>
      <w:tr w:rsidR="00B0060E" w:rsidRPr="00125018" w:rsidTr="00B0060E">
        <w:trPr>
          <w:cantSplit/>
          <w:trHeight w:val="397"/>
        </w:trPr>
        <w:tc>
          <w:tcPr>
            <w:tcW w:w="1818" w:type="pct"/>
            <w:tcBorders>
              <w:top w:val="nil"/>
              <w:bottom w:val="nil"/>
              <w:right w:val="nil"/>
            </w:tcBorders>
            <w:shd w:val="clear" w:color="auto" w:fill="auto"/>
            <w:noWrap/>
            <w:vAlign w:val="center"/>
            <w:hideMark/>
          </w:tcPr>
          <w:p w:rsidR="00B0060E" w:rsidRPr="00125018" w:rsidRDefault="00B0060E" w:rsidP="00B0060E">
            <w:pPr>
              <w:jc w:val="both"/>
            </w:pPr>
            <w:r w:rsidRPr="00125018">
              <w:t>Üretim (Ton)</w:t>
            </w:r>
          </w:p>
        </w:tc>
        <w:tc>
          <w:tcPr>
            <w:tcW w:w="534" w:type="pct"/>
            <w:tcBorders>
              <w:left w:val="nil"/>
            </w:tcBorders>
            <w:shd w:val="clear" w:color="auto" w:fill="auto"/>
            <w:noWrap/>
            <w:vAlign w:val="center"/>
            <w:hideMark/>
          </w:tcPr>
          <w:p w:rsidR="00B0060E" w:rsidRPr="00125018" w:rsidRDefault="00B0060E" w:rsidP="00B0060E">
            <w:pPr>
              <w:jc w:val="center"/>
            </w:pPr>
            <w:r w:rsidRPr="00125018">
              <w:t>109.102</w:t>
            </w:r>
          </w:p>
        </w:tc>
        <w:tc>
          <w:tcPr>
            <w:tcW w:w="534" w:type="pct"/>
            <w:shd w:val="clear" w:color="auto" w:fill="auto"/>
            <w:noWrap/>
            <w:vAlign w:val="center"/>
            <w:hideMark/>
          </w:tcPr>
          <w:p w:rsidR="00B0060E" w:rsidRPr="00125018" w:rsidRDefault="00B0060E" w:rsidP="00B0060E">
            <w:pPr>
              <w:jc w:val="center"/>
            </w:pPr>
            <w:r w:rsidRPr="00125018">
              <w:t>130.706</w:t>
            </w:r>
          </w:p>
        </w:tc>
        <w:tc>
          <w:tcPr>
            <w:tcW w:w="536" w:type="pct"/>
            <w:shd w:val="clear" w:color="auto" w:fill="auto"/>
            <w:noWrap/>
            <w:vAlign w:val="center"/>
            <w:hideMark/>
          </w:tcPr>
          <w:p w:rsidR="00B0060E" w:rsidRPr="00125018" w:rsidRDefault="00B0060E" w:rsidP="00B0060E">
            <w:pPr>
              <w:jc w:val="center"/>
            </w:pPr>
            <w:r w:rsidRPr="00125018">
              <w:t>140.167</w:t>
            </w:r>
          </w:p>
        </w:tc>
        <w:tc>
          <w:tcPr>
            <w:tcW w:w="534" w:type="pct"/>
            <w:shd w:val="clear" w:color="auto" w:fill="auto"/>
            <w:noWrap/>
            <w:vAlign w:val="center"/>
            <w:hideMark/>
          </w:tcPr>
          <w:p w:rsidR="00B0060E" w:rsidRPr="00125018" w:rsidRDefault="00B0060E" w:rsidP="00B0060E">
            <w:pPr>
              <w:jc w:val="center"/>
            </w:pPr>
            <w:r w:rsidRPr="00125018">
              <w:t>106.935</w:t>
            </w:r>
          </w:p>
        </w:tc>
        <w:tc>
          <w:tcPr>
            <w:tcW w:w="536" w:type="pct"/>
            <w:vAlign w:val="center"/>
          </w:tcPr>
          <w:p w:rsidR="00B0060E" w:rsidRPr="004438C9" w:rsidRDefault="00B0060E" w:rsidP="00B0060E">
            <w:pPr>
              <w:jc w:val="center"/>
            </w:pPr>
            <w:r w:rsidRPr="004438C9">
              <w:t>144.684</w:t>
            </w:r>
          </w:p>
        </w:tc>
        <w:tc>
          <w:tcPr>
            <w:tcW w:w="507" w:type="pct"/>
            <w:shd w:val="clear" w:color="auto" w:fill="auto"/>
            <w:vAlign w:val="center"/>
          </w:tcPr>
          <w:p w:rsidR="00B0060E" w:rsidRPr="005D657A" w:rsidRDefault="00B0060E" w:rsidP="00B0060E">
            <w:pPr>
              <w:jc w:val="center"/>
            </w:pPr>
            <w:r w:rsidRPr="005D657A">
              <w:t>122.544</w:t>
            </w:r>
          </w:p>
        </w:tc>
      </w:tr>
      <w:tr w:rsidR="00B0060E" w:rsidRPr="00125018" w:rsidTr="00B0060E">
        <w:trPr>
          <w:cantSplit/>
          <w:trHeight w:val="397"/>
        </w:trPr>
        <w:tc>
          <w:tcPr>
            <w:tcW w:w="1818" w:type="pct"/>
            <w:tcBorders>
              <w:top w:val="nil"/>
              <w:bottom w:val="nil"/>
              <w:right w:val="nil"/>
            </w:tcBorders>
            <w:shd w:val="clear" w:color="auto" w:fill="auto"/>
            <w:noWrap/>
            <w:vAlign w:val="center"/>
            <w:hideMark/>
          </w:tcPr>
          <w:p w:rsidR="00B0060E" w:rsidRPr="00125018" w:rsidRDefault="00B0060E" w:rsidP="00B0060E">
            <w:pPr>
              <w:jc w:val="both"/>
            </w:pPr>
            <w:r w:rsidRPr="00125018">
              <w:t>KKO (%)</w:t>
            </w:r>
          </w:p>
        </w:tc>
        <w:tc>
          <w:tcPr>
            <w:tcW w:w="534" w:type="pct"/>
            <w:tcBorders>
              <w:left w:val="nil"/>
            </w:tcBorders>
            <w:shd w:val="clear" w:color="auto" w:fill="auto"/>
            <w:noWrap/>
            <w:vAlign w:val="center"/>
            <w:hideMark/>
          </w:tcPr>
          <w:p w:rsidR="00B0060E" w:rsidRPr="00125018" w:rsidRDefault="00B0060E" w:rsidP="00B0060E">
            <w:pPr>
              <w:jc w:val="center"/>
            </w:pPr>
            <w:r w:rsidRPr="00125018">
              <w:t>78</w:t>
            </w:r>
          </w:p>
        </w:tc>
        <w:tc>
          <w:tcPr>
            <w:tcW w:w="534" w:type="pct"/>
            <w:shd w:val="clear" w:color="auto" w:fill="auto"/>
            <w:noWrap/>
            <w:vAlign w:val="center"/>
            <w:hideMark/>
          </w:tcPr>
          <w:p w:rsidR="00B0060E" w:rsidRPr="00125018" w:rsidRDefault="00B0060E" w:rsidP="00B0060E">
            <w:pPr>
              <w:jc w:val="center"/>
            </w:pPr>
            <w:r w:rsidRPr="00125018">
              <w:t>93</w:t>
            </w:r>
          </w:p>
        </w:tc>
        <w:tc>
          <w:tcPr>
            <w:tcW w:w="536" w:type="pct"/>
            <w:shd w:val="clear" w:color="auto" w:fill="auto"/>
            <w:noWrap/>
            <w:vAlign w:val="center"/>
            <w:hideMark/>
          </w:tcPr>
          <w:p w:rsidR="00B0060E" w:rsidRPr="00125018" w:rsidRDefault="00B0060E" w:rsidP="00B0060E">
            <w:pPr>
              <w:jc w:val="center"/>
            </w:pPr>
            <w:r w:rsidRPr="00125018">
              <w:t>100</w:t>
            </w:r>
          </w:p>
        </w:tc>
        <w:tc>
          <w:tcPr>
            <w:tcW w:w="534" w:type="pct"/>
            <w:shd w:val="clear" w:color="auto" w:fill="auto"/>
            <w:noWrap/>
            <w:vAlign w:val="center"/>
            <w:hideMark/>
          </w:tcPr>
          <w:p w:rsidR="00B0060E" w:rsidRPr="00125018" w:rsidRDefault="00B0060E" w:rsidP="00B0060E">
            <w:pPr>
              <w:jc w:val="center"/>
            </w:pPr>
            <w:r w:rsidRPr="00125018">
              <w:t>76</w:t>
            </w:r>
          </w:p>
        </w:tc>
        <w:tc>
          <w:tcPr>
            <w:tcW w:w="536" w:type="pct"/>
            <w:vAlign w:val="center"/>
          </w:tcPr>
          <w:p w:rsidR="00B0060E" w:rsidRPr="004438C9" w:rsidRDefault="00B0060E" w:rsidP="00B0060E">
            <w:pPr>
              <w:jc w:val="center"/>
            </w:pPr>
            <w:r w:rsidRPr="004438C9">
              <w:t>103</w:t>
            </w:r>
          </w:p>
        </w:tc>
        <w:tc>
          <w:tcPr>
            <w:tcW w:w="507" w:type="pct"/>
            <w:shd w:val="clear" w:color="auto" w:fill="auto"/>
            <w:vAlign w:val="center"/>
          </w:tcPr>
          <w:p w:rsidR="00B0060E" w:rsidRPr="005D657A" w:rsidRDefault="00B0060E" w:rsidP="00B0060E">
            <w:pPr>
              <w:jc w:val="center"/>
            </w:pPr>
            <w:r w:rsidRPr="005D657A">
              <w:t>88</w:t>
            </w:r>
          </w:p>
        </w:tc>
      </w:tr>
      <w:tr w:rsidR="00B0060E" w:rsidRPr="00125018" w:rsidTr="00B0060E">
        <w:trPr>
          <w:cantSplit/>
          <w:trHeight w:val="397"/>
        </w:trPr>
        <w:tc>
          <w:tcPr>
            <w:tcW w:w="1818" w:type="pct"/>
            <w:tcBorders>
              <w:top w:val="nil"/>
              <w:bottom w:val="nil"/>
              <w:right w:val="nil"/>
            </w:tcBorders>
            <w:shd w:val="clear" w:color="auto" w:fill="auto"/>
            <w:noWrap/>
            <w:vAlign w:val="center"/>
            <w:hideMark/>
          </w:tcPr>
          <w:p w:rsidR="00B0060E" w:rsidRPr="00125018" w:rsidRDefault="00B0060E" w:rsidP="00B0060E">
            <w:pPr>
              <w:jc w:val="both"/>
            </w:pPr>
            <w:r w:rsidRPr="00125018">
              <w:t>Toplam satışlar (</w:t>
            </w:r>
            <w:r>
              <w:t>Endeks</w:t>
            </w:r>
            <w:r w:rsidRPr="00125018">
              <w:t>)</w:t>
            </w:r>
          </w:p>
        </w:tc>
        <w:tc>
          <w:tcPr>
            <w:tcW w:w="534" w:type="pct"/>
            <w:tcBorders>
              <w:left w:val="nil"/>
            </w:tcBorders>
            <w:shd w:val="clear" w:color="auto" w:fill="auto"/>
            <w:noWrap/>
            <w:vAlign w:val="center"/>
            <w:hideMark/>
          </w:tcPr>
          <w:p w:rsidR="00B0060E" w:rsidRPr="0016571F" w:rsidRDefault="00B0060E" w:rsidP="00B0060E">
            <w:pPr>
              <w:jc w:val="center"/>
            </w:pPr>
            <w:r w:rsidRPr="0016571F">
              <w:t>100</w:t>
            </w:r>
          </w:p>
        </w:tc>
        <w:tc>
          <w:tcPr>
            <w:tcW w:w="534" w:type="pct"/>
            <w:shd w:val="clear" w:color="auto" w:fill="auto"/>
            <w:noWrap/>
            <w:vAlign w:val="center"/>
            <w:hideMark/>
          </w:tcPr>
          <w:p w:rsidR="00B0060E" w:rsidRPr="0016571F" w:rsidRDefault="00B0060E" w:rsidP="00B0060E">
            <w:pPr>
              <w:jc w:val="center"/>
            </w:pPr>
            <w:r w:rsidRPr="0016571F">
              <w:t>99</w:t>
            </w:r>
          </w:p>
        </w:tc>
        <w:tc>
          <w:tcPr>
            <w:tcW w:w="536" w:type="pct"/>
            <w:shd w:val="clear" w:color="auto" w:fill="auto"/>
            <w:noWrap/>
            <w:vAlign w:val="center"/>
            <w:hideMark/>
          </w:tcPr>
          <w:p w:rsidR="00B0060E" w:rsidRPr="0016571F" w:rsidRDefault="00B0060E" w:rsidP="00B0060E">
            <w:pPr>
              <w:jc w:val="center"/>
            </w:pPr>
            <w:r w:rsidRPr="0016571F">
              <w:t>108</w:t>
            </w:r>
          </w:p>
        </w:tc>
        <w:tc>
          <w:tcPr>
            <w:tcW w:w="534" w:type="pct"/>
            <w:shd w:val="clear" w:color="auto" w:fill="auto"/>
            <w:noWrap/>
            <w:vAlign w:val="center"/>
            <w:hideMark/>
          </w:tcPr>
          <w:p w:rsidR="00B0060E" w:rsidRPr="0016571F" w:rsidRDefault="00B0060E" w:rsidP="00B0060E">
            <w:pPr>
              <w:jc w:val="center"/>
            </w:pPr>
            <w:r w:rsidRPr="0016571F">
              <w:t>77</w:t>
            </w:r>
          </w:p>
        </w:tc>
        <w:tc>
          <w:tcPr>
            <w:tcW w:w="536" w:type="pct"/>
            <w:vAlign w:val="center"/>
          </w:tcPr>
          <w:p w:rsidR="00B0060E" w:rsidRPr="0016571F" w:rsidRDefault="00B0060E" w:rsidP="00B0060E">
            <w:pPr>
              <w:jc w:val="center"/>
            </w:pPr>
            <w:r w:rsidRPr="0016571F">
              <w:t>136</w:t>
            </w:r>
          </w:p>
        </w:tc>
        <w:tc>
          <w:tcPr>
            <w:tcW w:w="507" w:type="pct"/>
            <w:shd w:val="clear" w:color="auto" w:fill="auto"/>
            <w:vAlign w:val="center"/>
          </w:tcPr>
          <w:p w:rsidR="00B0060E" w:rsidRPr="0016571F" w:rsidRDefault="00B0060E" w:rsidP="00B0060E">
            <w:pPr>
              <w:jc w:val="center"/>
            </w:pPr>
            <w:r w:rsidRPr="0016571F">
              <w:t>123</w:t>
            </w:r>
          </w:p>
        </w:tc>
      </w:tr>
      <w:tr w:rsidR="00B0060E" w:rsidRPr="00125018" w:rsidTr="00B0060E">
        <w:trPr>
          <w:cantSplit/>
          <w:trHeight w:val="397"/>
        </w:trPr>
        <w:tc>
          <w:tcPr>
            <w:tcW w:w="1818" w:type="pct"/>
            <w:tcBorders>
              <w:top w:val="nil"/>
              <w:bottom w:val="nil"/>
              <w:right w:val="nil"/>
            </w:tcBorders>
            <w:shd w:val="clear" w:color="auto" w:fill="auto"/>
            <w:noWrap/>
            <w:vAlign w:val="center"/>
          </w:tcPr>
          <w:p w:rsidR="00B0060E" w:rsidRPr="00125018" w:rsidRDefault="00B0060E" w:rsidP="00B0060E">
            <w:pPr>
              <w:jc w:val="both"/>
            </w:pPr>
            <w:r w:rsidRPr="00125018">
              <w:t xml:space="preserve">Toplam satışlar/Üretim </w:t>
            </w:r>
            <w:r>
              <w:t>(Endeks)</w:t>
            </w:r>
          </w:p>
        </w:tc>
        <w:tc>
          <w:tcPr>
            <w:tcW w:w="534" w:type="pct"/>
            <w:tcBorders>
              <w:left w:val="nil"/>
            </w:tcBorders>
            <w:shd w:val="clear" w:color="auto" w:fill="auto"/>
            <w:noWrap/>
            <w:vAlign w:val="center"/>
          </w:tcPr>
          <w:p w:rsidR="00B0060E" w:rsidRPr="0016571F" w:rsidRDefault="00B0060E" w:rsidP="00B0060E">
            <w:pPr>
              <w:jc w:val="center"/>
            </w:pPr>
            <w:r w:rsidRPr="0016571F">
              <w:t>100</w:t>
            </w:r>
          </w:p>
        </w:tc>
        <w:tc>
          <w:tcPr>
            <w:tcW w:w="534" w:type="pct"/>
            <w:shd w:val="clear" w:color="auto" w:fill="auto"/>
            <w:noWrap/>
            <w:vAlign w:val="center"/>
          </w:tcPr>
          <w:p w:rsidR="00B0060E" w:rsidRPr="0016571F" w:rsidRDefault="00B0060E" w:rsidP="00B0060E">
            <w:pPr>
              <w:jc w:val="center"/>
            </w:pPr>
            <w:r w:rsidRPr="0016571F">
              <w:t>83</w:t>
            </w:r>
          </w:p>
        </w:tc>
        <w:tc>
          <w:tcPr>
            <w:tcW w:w="536" w:type="pct"/>
            <w:shd w:val="clear" w:color="auto" w:fill="auto"/>
            <w:noWrap/>
            <w:vAlign w:val="center"/>
          </w:tcPr>
          <w:p w:rsidR="00B0060E" w:rsidRPr="0016571F" w:rsidRDefault="00B0060E" w:rsidP="00B0060E">
            <w:pPr>
              <w:jc w:val="center"/>
            </w:pPr>
            <w:r w:rsidRPr="0016571F">
              <w:t>84</w:t>
            </w:r>
          </w:p>
        </w:tc>
        <w:tc>
          <w:tcPr>
            <w:tcW w:w="534" w:type="pct"/>
            <w:shd w:val="clear" w:color="auto" w:fill="auto"/>
            <w:noWrap/>
            <w:vAlign w:val="center"/>
          </w:tcPr>
          <w:p w:rsidR="00B0060E" w:rsidRPr="0016571F" w:rsidRDefault="00B0060E" w:rsidP="00B0060E">
            <w:pPr>
              <w:jc w:val="center"/>
            </w:pPr>
            <w:r w:rsidRPr="0016571F">
              <w:t>78</w:t>
            </w:r>
          </w:p>
        </w:tc>
        <w:tc>
          <w:tcPr>
            <w:tcW w:w="536" w:type="pct"/>
            <w:vAlign w:val="center"/>
          </w:tcPr>
          <w:p w:rsidR="00B0060E" w:rsidRPr="0016571F" w:rsidRDefault="00B0060E" w:rsidP="00B0060E">
            <w:pPr>
              <w:jc w:val="center"/>
            </w:pPr>
            <w:r w:rsidRPr="0016571F">
              <w:t>103</w:t>
            </w:r>
          </w:p>
        </w:tc>
        <w:tc>
          <w:tcPr>
            <w:tcW w:w="507" w:type="pct"/>
            <w:shd w:val="clear" w:color="auto" w:fill="auto"/>
            <w:vAlign w:val="center"/>
          </w:tcPr>
          <w:p w:rsidR="00B0060E" w:rsidRPr="0016571F" w:rsidRDefault="00B0060E" w:rsidP="00B0060E">
            <w:pPr>
              <w:jc w:val="center"/>
            </w:pPr>
            <w:r w:rsidRPr="0016571F">
              <w:t>109</w:t>
            </w:r>
          </w:p>
        </w:tc>
      </w:tr>
      <w:tr w:rsidR="00B0060E" w:rsidRPr="00125018" w:rsidTr="00B0060E">
        <w:trPr>
          <w:cantSplit/>
          <w:trHeight w:val="397"/>
        </w:trPr>
        <w:tc>
          <w:tcPr>
            <w:tcW w:w="1818" w:type="pct"/>
            <w:tcBorders>
              <w:top w:val="nil"/>
              <w:bottom w:val="double" w:sz="4" w:space="0" w:color="auto"/>
              <w:right w:val="nil"/>
            </w:tcBorders>
            <w:shd w:val="clear" w:color="auto" w:fill="auto"/>
            <w:noWrap/>
            <w:vAlign w:val="center"/>
          </w:tcPr>
          <w:p w:rsidR="00B0060E" w:rsidRPr="00125018" w:rsidRDefault="00B0060E" w:rsidP="00B0060E">
            <w:pPr>
              <w:jc w:val="both"/>
            </w:pPr>
            <w:r w:rsidRPr="00125018">
              <w:t>Birim fiyat (</w:t>
            </w:r>
            <w:r>
              <w:t>Endeks</w:t>
            </w:r>
            <w:r w:rsidRPr="00125018">
              <w:t>)</w:t>
            </w:r>
          </w:p>
        </w:tc>
        <w:tc>
          <w:tcPr>
            <w:tcW w:w="534" w:type="pct"/>
            <w:tcBorders>
              <w:left w:val="nil"/>
            </w:tcBorders>
            <w:shd w:val="clear" w:color="auto" w:fill="auto"/>
            <w:noWrap/>
            <w:vAlign w:val="center"/>
          </w:tcPr>
          <w:p w:rsidR="00B0060E" w:rsidRPr="0016571F" w:rsidRDefault="00B0060E" w:rsidP="00B0060E">
            <w:pPr>
              <w:jc w:val="center"/>
            </w:pPr>
            <w:r w:rsidRPr="0016571F">
              <w:t>100</w:t>
            </w:r>
          </w:p>
        </w:tc>
        <w:tc>
          <w:tcPr>
            <w:tcW w:w="534" w:type="pct"/>
            <w:shd w:val="clear" w:color="auto" w:fill="auto"/>
            <w:noWrap/>
            <w:vAlign w:val="center"/>
          </w:tcPr>
          <w:p w:rsidR="00B0060E" w:rsidRPr="0016571F" w:rsidRDefault="00B0060E" w:rsidP="00B0060E">
            <w:pPr>
              <w:jc w:val="center"/>
            </w:pPr>
            <w:r w:rsidRPr="0016571F">
              <w:t>79</w:t>
            </w:r>
          </w:p>
        </w:tc>
        <w:tc>
          <w:tcPr>
            <w:tcW w:w="536" w:type="pct"/>
            <w:shd w:val="clear" w:color="auto" w:fill="auto"/>
            <w:noWrap/>
            <w:vAlign w:val="center"/>
          </w:tcPr>
          <w:p w:rsidR="00B0060E" w:rsidRPr="0016571F" w:rsidRDefault="00B0060E" w:rsidP="00B0060E">
            <w:pPr>
              <w:jc w:val="center"/>
            </w:pPr>
            <w:r w:rsidRPr="0016571F">
              <w:t>89</w:t>
            </w:r>
          </w:p>
        </w:tc>
        <w:tc>
          <w:tcPr>
            <w:tcW w:w="534" w:type="pct"/>
            <w:shd w:val="clear" w:color="auto" w:fill="auto"/>
            <w:noWrap/>
            <w:vAlign w:val="center"/>
          </w:tcPr>
          <w:p w:rsidR="00B0060E" w:rsidRPr="0016571F" w:rsidRDefault="00B0060E" w:rsidP="00B0060E">
            <w:pPr>
              <w:jc w:val="center"/>
            </w:pPr>
            <w:r w:rsidRPr="0016571F">
              <w:t>137</w:t>
            </w:r>
          </w:p>
        </w:tc>
        <w:tc>
          <w:tcPr>
            <w:tcW w:w="536" w:type="pct"/>
            <w:vAlign w:val="center"/>
          </w:tcPr>
          <w:p w:rsidR="00B0060E" w:rsidRPr="0016571F" w:rsidRDefault="00B0060E" w:rsidP="00B0060E">
            <w:pPr>
              <w:jc w:val="center"/>
            </w:pPr>
            <w:r w:rsidRPr="0016571F">
              <w:t>125</w:t>
            </w:r>
          </w:p>
        </w:tc>
        <w:tc>
          <w:tcPr>
            <w:tcW w:w="507" w:type="pct"/>
            <w:shd w:val="clear" w:color="auto" w:fill="auto"/>
            <w:vAlign w:val="center"/>
          </w:tcPr>
          <w:p w:rsidR="00B0060E" w:rsidRPr="0016571F" w:rsidRDefault="00B0060E" w:rsidP="00B0060E">
            <w:pPr>
              <w:jc w:val="center"/>
            </w:pPr>
            <w:r w:rsidRPr="0016571F">
              <w:t>129</w:t>
            </w:r>
          </w:p>
        </w:tc>
      </w:tr>
    </w:tbl>
    <w:p w:rsidR="00B0060E" w:rsidRPr="00125018" w:rsidRDefault="00B0060E" w:rsidP="00B0060E">
      <w:pPr>
        <w:jc w:val="both"/>
      </w:pPr>
    </w:p>
    <w:p w:rsidR="00B0060E" w:rsidRPr="00125018" w:rsidRDefault="00B0060E" w:rsidP="00B0060E">
      <w:pPr>
        <w:ind w:firstLine="708"/>
        <w:jc w:val="both"/>
      </w:pPr>
      <w:r w:rsidRPr="00125018">
        <w:lastRenderedPageBreak/>
        <w:t>Yerli üreticinin 2010 ve 2012</w:t>
      </w:r>
      <w:r>
        <w:t xml:space="preserve"> </w:t>
      </w:r>
      <w:r w:rsidRPr="00125018">
        <w:t>yıllarında yıllık 140 bin tonluk kapasitesini</w:t>
      </w:r>
      <w:r>
        <w:t>n</w:t>
      </w:r>
      <w:r w:rsidRPr="00125018">
        <w:t xml:space="preserve"> tamamını kullandığı görülmektedir. Toplam satışların üretime oranı inceleme döneminde önce düşmüş 2012 yılında ise </w:t>
      </w:r>
      <w:r>
        <w:t>2008 yılındaki seviyesinin üzerine yükselmiştir.</w:t>
      </w:r>
      <w:r w:rsidRPr="00125018">
        <w:t xml:space="preserve"> İlgili taraflardan bazılarının iddia ettiği gibi özellikle 2012 yılında paraksilenin gerek üretimi gerekse satışı hem mutlak olarak hem de üretime oranla artarak incelem</w:t>
      </w:r>
      <w:r>
        <w:t>e dönemindeki en yüksek değerin</w:t>
      </w:r>
      <w:r w:rsidRPr="00125018">
        <w:t xml:space="preserve">e ulaşmıştır. </w:t>
      </w:r>
      <w:r>
        <w:t xml:space="preserve">Satışların üretime oranı 2013 yılında ise düşen satışlara rağmen 6 puan artmıştır. Bu artışta, PTA fabrikasında yaşanan duruşlar nedeniyle firmanın </w:t>
      </w:r>
      <w:proofErr w:type="gramStart"/>
      <w:r>
        <w:t>aromatikler</w:t>
      </w:r>
      <w:proofErr w:type="gramEnd"/>
      <w:r>
        <w:t xml:space="preserve"> fabrikasında üretilen </w:t>
      </w:r>
      <w:proofErr w:type="spellStart"/>
      <w:r>
        <w:t>paraksileni</w:t>
      </w:r>
      <w:proofErr w:type="spellEnd"/>
      <w:r>
        <w:t xml:space="preserve"> kendi bünyesinde tüketmemesi etkili olmaktadır.</w:t>
      </w:r>
    </w:p>
    <w:p w:rsidR="00B0060E" w:rsidRPr="00125018" w:rsidRDefault="00B0060E" w:rsidP="00B0060E">
      <w:pPr>
        <w:jc w:val="both"/>
      </w:pPr>
    </w:p>
    <w:p w:rsidR="00B0060E" w:rsidRDefault="00B0060E" w:rsidP="00B0060E">
      <w:pPr>
        <w:ind w:firstLine="708"/>
        <w:jc w:val="both"/>
      </w:pPr>
      <w:r w:rsidRPr="00125018">
        <w:t xml:space="preserve">Buna rağmen, </w:t>
      </w:r>
      <w:proofErr w:type="gramStart"/>
      <w:r>
        <w:t>5.4</w:t>
      </w:r>
      <w:proofErr w:type="gramEnd"/>
      <w:r w:rsidRPr="00125018">
        <w:t xml:space="preserve"> bölümünde görüleceği üzere, PTA üretiminde de %100’ün üzerinde kapasite kullanım oranının yakalandığı 2010 yılında, 2012 yılındakine yakın bir paraksilen üretimi yapılmışken, paraksilen satışlarının üretime oranı</w:t>
      </w:r>
      <w:r>
        <w:t xml:space="preserve"> endeksinin</w:t>
      </w:r>
      <w:r w:rsidRPr="00125018">
        <w:t xml:space="preserve"> </w:t>
      </w:r>
      <w:r>
        <w:t>84 puan olduğu; endeksin gerek 2008’deki gerekse 2012’deki seviyenin altında olduğu görülmektedir.</w:t>
      </w:r>
      <w:r w:rsidRPr="00125018">
        <w:t xml:space="preserve"> Yerli üreticinin PTA satışlarında sıkıntı yaşamadığı bu dönemde </w:t>
      </w:r>
      <w:proofErr w:type="spellStart"/>
      <w:r w:rsidRPr="00125018">
        <w:t>PTA</w:t>
      </w:r>
      <w:proofErr w:type="spellEnd"/>
      <w:r w:rsidRPr="00125018">
        <w:t xml:space="preserve"> yerine paraksilen satmaya yönelmediği görülmektedir. </w:t>
      </w:r>
    </w:p>
    <w:p w:rsidR="00B0060E" w:rsidRPr="00125018" w:rsidRDefault="00B0060E" w:rsidP="00B0060E">
      <w:pPr>
        <w:ind w:firstLine="708"/>
        <w:jc w:val="both"/>
      </w:pPr>
    </w:p>
    <w:p w:rsidR="00B0060E" w:rsidRPr="00125018" w:rsidRDefault="00B0060E" w:rsidP="00B0060E">
      <w:pPr>
        <w:ind w:firstLine="708"/>
        <w:jc w:val="both"/>
      </w:pPr>
      <w:r w:rsidRPr="00125018">
        <w:t xml:space="preserve">Diğer taraftan, paraksilen ürün birim fiyatının inceleme döneminde en yüksek seviyeye ulaştığı 2011 yılında, paraksilen satışlarının üretime oranı </w:t>
      </w:r>
      <w:r>
        <w:t>endeksi 78</w:t>
      </w:r>
      <w:r w:rsidRPr="00125018">
        <w:t xml:space="preserve"> </w:t>
      </w:r>
      <w:r>
        <w:t>puanla</w:t>
      </w:r>
      <w:r w:rsidRPr="00125018">
        <w:t xml:space="preserve"> inceleme dönemindeki en düşük seviyeye gerilemiştir. Yine </w:t>
      </w:r>
      <w:proofErr w:type="gramStart"/>
      <w:r>
        <w:t>5.4</w:t>
      </w:r>
      <w:proofErr w:type="gramEnd"/>
      <w:r w:rsidRPr="00125018">
        <w:t xml:space="preserve"> bölümünde görüleceği üzere 2011 yılı PTA fabrikasında da kapasite kullanımının yüksek olduğu bir yıldır. Buradan anlaşılacağı üzere yerli üretici paraksilen ür</w:t>
      </w:r>
      <w:r>
        <w:t>ününü en yüksek fiyattan satabileceği</w:t>
      </w:r>
      <w:r w:rsidRPr="00125018">
        <w:t xml:space="preserve"> bu dönemde de </w:t>
      </w:r>
      <w:proofErr w:type="spellStart"/>
      <w:r w:rsidRPr="00125018">
        <w:t>PTA</w:t>
      </w:r>
      <w:proofErr w:type="spellEnd"/>
      <w:r w:rsidRPr="00125018">
        <w:t xml:space="preserve"> yerine paraksilen satmaya yönelmemiştir. PTA fiyatları tüm dünyada paraksilen fiyatına bağlı bir </w:t>
      </w:r>
      <w:proofErr w:type="spellStart"/>
      <w:r w:rsidRPr="00125018">
        <w:t>formülasyonla</w:t>
      </w:r>
      <w:proofErr w:type="spellEnd"/>
      <w:r w:rsidRPr="00125018">
        <w:t xml:space="preserve"> belirlenmektedir. Paraksilen fiyatlarındaki artış doğrudan PTA fiyatlarına </w:t>
      </w:r>
      <w:r>
        <w:t xml:space="preserve">da </w:t>
      </w:r>
      <w:r w:rsidRPr="00125018">
        <w:t>yansımakta</w:t>
      </w:r>
      <w:r>
        <w:t>dır</w:t>
      </w:r>
      <w:r w:rsidRPr="00125018">
        <w:t>. Bu durum paraksilen fiyatlarındaki artışa rağmen yerli üreticinin 2011 yılında bu ürünün satışlarını arttırmamasını açıklamaktadır.</w:t>
      </w:r>
      <w:r>
        <w:t xml:space="preserve"> </w:t>
      </w:r>
    </w:p>
    <w:p w:rsidR="00B0060E" w:rsidRPr="00125018" w:rsidRDefault="00B0060E" w:rsidP="00B0060E">
      <w:pPr>
        <w:jc w:val="both"/>
      </w:pPr>
    </w:p>
    <w:p w:rsidR="00B0060E" w:rsidRDefault="00B0060E" w:rsidP="00B0060E">
      <w:pPr>
        <w:ind w:firstLine="708"/>
        <w:jc w:val="both"/>
      </w:pPr>
      <w:r w:rsidRPr="00125018">
        <w:t>Sonuç olarak, yerli üretici</w:t>
      </w:r>
      <w:r>
        <w:t>nin</w:t>
      </w:r>
      <w:r w:rsidRPr="00125018">
        <w:t xml:space="preserve"> paraksilen ürünün</w:t>
      </w:r>
      <w:r>
        <w:t>ü</w:t>
      </w:r>
      <w:r w:rsidRPr="00125018">
        <w:t xml:space="preserve"> </w:t>
      </w:r>
      <w:proofErr w:type="spellStart"/>
      <w:r w:rsidRPr="00125018">
        <w:t>PTA</w:t>
      </w:r>
      <w:proofErr w:type="spellEnd"/>
      <w:r w:rsidRPr="00125018">
        <w:t xml:space="preserve"> ürününe bir alternatif olarak görmediği, bu nedenle paraksilen fiyatlarının arttığı dönemde </w:t>
      </w:r>
      <w:proofErr w:type="spellStart"/>
      <w:r w:rsidRPr="00125018">
        <w:t>PTA</w:t>
      </w:r>
      <w:proofErr w:type="spellEnd"/>
      <w:r w:rsidRPr="00125018">
        <w:t xml:space="preserve"> üretiminin durdurularak </w:t>
      </w:r>
      <w:r>
        <w:t xml:space="preserve">paraksilen </w:t>
      </w:r>
      <w:r w:rsidRPr="00125018">
        <w:t>satış</w:t>
      </w:r>
      <w:r>
        <w:t>ı</w:t>
      </w:r>
      <w:r w:rsidRPr="00125018">
        <w:t xml:space="preserve"> yapıldığı iddiasının makul bir açıklama olmadığı değerlendirilmektedir</w:t>
      </w:r>
    </w:p>
    <w:p w:rsidR="00B0060E" w:rsidRPr="00B0060E" w:rsidRDefault="00B0060E" w:rsidP="00B0060E">
      <w:pPr>
        <w:pStyle w:val="Balk3"/>
      </w:pPr>
      <w:r>
        <w:t>Maliyetler</w:t>
      </w:r>
    </w:p>
    <w:p w:rsidR="00AF6355" w:rsidRDefault="00AF6355" w:rsidP="00AF6355">
      <w:pPr>
        <w:ind w:firstLine="708"/>
        <w:jc w:val="both"/>
      </w:pPr>
      <w:r w:rsidRPr="008A3C30">
        <w:t>Soruşturma esnasında ilgili taraflarca, zarar üzerinde üretim maliyetlerinde yaşanan artışın önemli ölçüde etkili olduğu ifade edilmiştir. Bu itibarla, yerli üreticinin yıllar itibariyle birim sınai maliyeti aşağıdaki tabloda gösterilmektedir.</w:t>
      </w:r>
    </w:p>
    <w:p w:rsidR="00AF6355" w:rsidRPr="00125018" w:rsidRDefault="00AF6355" w:rsidP="00AF6355">
      <w:pPr>
        <w:ind w:firstLine="708"/>
        <w:jc w:val="both"/>
      </w:pPr>
    </w:p>
    <w:tbl>
      <w:tblPr>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2520"/>
        <w:gridCol w:w="1128"/>
        <w:gridCol w:w="1128"/>
        <w:gridCol w:w="1128"/>
        <w:gridCol w:w="1128"/>
        <w:gridCol w:w="1128"/>
        <w:gridCol w:w="1128"/>
      </w:tblGrid>
      <w:tr w:rsidR="00AF6355" w:rsidRPr="00125018" w:rsidTr="00FF2DF8">
        <w:trPr>
          <w:cantSplit/>
          <w:trHeight w:val="397"/>
          <w:tblHeader/>
        </w:trPr>
        <w:tc>
          <w:tcPr>
            <w:tcW w:w="1357" w:type="pct"/>
            <w:tcBorders>
              <w:top w:val="double" w:sz="4" w:space="0" w:color="auto"/>
              <w:bottom w:val="nil"/>
              <w:right w:val="nil"/>
            </w:tcBorders>
            <w:vAlign w:val="center"/>
          </w:tcPr>
          <w:p w:rsidR="00AF6355" w:rsidRPr="00125018" w:rsidRDefault="00AF6355" w:rsidP="00FF2DF8">
            <w:pPr>
              <w:jc w:val="both"/>
            </w:pPr>
            <w:r w:rsidRPr="00125018">
              <w:t>Maliyet</w:t>
            </w:r>
          </w:p>
        </w:tc>
        <w:tc>
          <w:tcPr>
            <w:tcW w:w="607" w:type="pct"/>
            <w:tcBorders>
              <w:top w:val="double" w:sz="4" w:space="0" w:color="auto"/>
              <w:left w:val="nil"/>
              <w:bottom w:val="nil"/>
            </w:tcBorders>
            <w:vAlign w:val="center"/>
          </w:tcPr>
          <w:p w:rsidR="00AF6355" w:rsidRPr="00125018" w:rsidRDefault="00AF6355" w:rsidP="00FF2DF8">
            <w:pPr>
              <w:jc w:val="center"/>
            </w:pPr>
            <w:r w:rsidRPr="00125018">
              <w:t>2008</w:t>
            </w:r>
          </w:p>
        </w:tc>
        <w:tc>
          <w:tcPr>
            <w:tcW w:w="607" w:type="pct"/>
            <w:tcBorders>
              <w:top w:val="double" w:sz="4" w:space="0" w:color="auto"/>
              <w:bottom w:val="nil"/>
            </w:tcBorders>
            <w:vAlign w:val="center"/>
          </w:tcPr>
          <w:p w:rsidR="00AF6355" w:rsidRPr="00125018" w:rsidRDefault="00AF6355" w:rsidP="00FF2DF8">
            <w:pPr>
              <w:jc w:val="center"/>
            </w:pPr>
            <w:r w:rsidRPr="00125018">
              <w:t>2009</w:t>
            </w:r>
          </w:p>
        </w:tc>
        <w:tc>
          <w:tcPr>
            <w:tcW w:w="607" w:type="pct"/>
            <w:tcBorders>
              <w:top w:val="double" w:sz="4" w:space="0" w:color="auto"/>
              <w:bottom w:val="nil"/>
            </w:tcBorders>
            <w:vAlign w:val="center"/>
          </w:tcPr>
          <w:p w:rsidR="00AF6355" w:rsidRPr="00125018" w:rsidRDefault="00AF6355" w:rsidP="00FF2DF8">
            <w:pPr>
              <w:jc w:val="center"/>
            </w:pPr>
            <w:r w:rsidRPr="00125018">
              <w:t>2010</w:t>
            </w:r>
          </w:p>
        </w:tc>
        <w:tc>
          <w:tcPr>
            <w:tcW w:w="607" w:type="pct"/>
            <w:tcBorders>
              <w:top w:val="double" w:sz="4" w:space="0" w:color="auto"/>
              <w:bottom w:val="nil"/>
            </w:tcBorders>
            <w:vAlign w:val="center"/>
          </w:tcPr>
          <w:p w:rsidR="00AF6355" w:rsidRPr="00125018" w:rsidRDefault="00AF6355" w:rsidP="00FF2DF8">
            <w:pPr>
              <w:jc w:val="center"/>
            </w:pPr>
            <w:r w:rsidRPr="00125018">
              <w:t>2011</w:t>
            </w:r>
          </w:p>
        </w:tc>
        <w:tc>
          <w:tcPr>
            <w:tcW w:w="607" w:type="pct"/>
            <w:tcBorders>
              <w:top w:val="double" w:sz="4" w:space="0" w:color="auto"/>
              <w:bottom w:val="nil"/>
            </w:tcBorders>
            <w:vAlign w:val="center"/>
          </w:tcPr>
          <w:p w:rsidR="00AF6355" w:rsidRPr="00125018" w:rsidRDefault="00AF6355" w:rsidP="00FF2DF8">
            <w:pPr>
              <w:jc w:val="center"/>
            </w:pPr>
            <w:r w:rsidRPr="00125018">
              <w:t>2012</w:t>
            </w:r>
          </w:p>
        </w:tc>
        <w:tc>
          <w:tcPr>
            <w:tcW w:w="607" w:type="pct"/>
            <w:tcBorders>
              <w:top w:val="double" w:sz="4" w:space="0" w:color="auto"/>
              <w:bottom w:val="nil"/>
            </w:tcBorders>
            <w:vAlign w:val="center"/>
          </w:tcPr>
          <w:p w:rsidR="00AF6355" w:rsidRPr="00125018" w:rsidRDefault="00AF6355" w:rsidP="00FF2DF8">
            <w:pPr>
              <w:jc w:val="center"/>
            </w:pPr>
            <w:r>
              <w:t>2013</w:t>
            </w:r>
          </w:p>
        </w:tc>
      </w:tr>
      <w:tr w:rsidR="00AF6355" w:rsidRPr="00125018" w:rsidTr="00FF2DF8">
        <w:trPr>
          <w:cantSplit/>
          <w:trHeight w:val="397"/>
        </w:trPr>
        <w:tc>
          <w:tcPr>
            <w:tcW w:w="1357" w:type="pct"/>
            <w:tcBorders>
              <w:top w:val="nil"/>
              <w:bottom w:val="double" w:sz="4" w:space="0" w:color="auto"/>
              <w:right w:val="nil"/>
            </w:tcBorders>
            <w:vAlign w:val="center"/>
          </w:tcPr>
          <w:p w:rsidR="00AF6355" w:rsidRPr="00125018" w:rsidRDefault="00AF6355" w:rsidP="00FF2DF8">
            <w:pPr>
              <w:jc w:val="both"/>
            </w:pPr>
            <w:r w:rsidRPr="00125018">
              <w:t>Endeks</w:t>
            </w:r>
          </w:p>
        </w:tc>
        <w:tc>
          <w:tcPr>
            <w:tcW w:w="607" w:type="pct"/>
            <w:tcBorders>
              <w:left w:val="nil"/>
              <w:bottom w:val="double" w:sz="4" w:space="0" w:color="auto"/>
            </w:tcBorders>
            <w:vAlign w:val="center"/>
          </w:tcPr>
          <w:p w:rsidR="00AF6355" w:rsidRPr="00125018" w:rsidRDefault="00AF6355" w:rsidP="00FF2DF8">
            <w:pPr>
              <w:jc w:val="center"/>
            </w:pPr>
            <w:r w:rsidRPr="00125018">
              <w:t>100</w:t>
            </w:r>
          </w:p>
        </w:tc>
        <w:tc>
          <w:tcPr>
            <w:tcW w:w="607" w:type="pct"/>
            <w:tcBorders>
              <w:bottom w:val="double" w:sz="4" w:space="0" w:color="auto"/>
            </w:tcBorders>
            <w:vAlign w:val="center"/>
          </w:tcPr>
          <w:p w:rsidR="00AF6355" w:rsidRPr="00125018" w:rsidRDefault="00AF6355" w:rsidP="00FF2DF8">
            <w:pPr>
              <w:jc w:val="center"/>
            </w:pPr>
            <w:r w:rsidRPr="00125018">
              <w:t>90</w:t>
            </w:r>
          </w:p>
        </w:tc>
        <w:tc>
          <w:tcPr>
            <w:tcW w:w="607" w:type="pct"/>
            <w:tcBorders>
              <w:bottom w:val="double" w:sz="4" w:space="0" w:color="auto"/>
            </w:tcBorders>
            <w:vAlign w:val="center"/>
          </w:tcPr>
          <w:p w:rsidR="00AF6355" w:rsidRPr="00125018" w:rsidRDefault="00AF6355" w:rsidP="00FF2DF8">
            <w:pPr>
              <w:jc w:val="center"/>
            </w:pPr>
            <w:r w:rsidRPr="00125018">
              <w:t>92</w:t>
            </w:r>
          </w:p>
        </w:tc>
        <w:tc>
          <w:tcPr>
            <w:tcW w:w="607" w:type="pct"/>
            <w:tcBorders>
              <w:bottom w:val="double" w:sz="4" w:space="0" w:color="auto"/>
            </w:tcBorders>
            <w:vAlign w:val="center"/>
          </w:tcPr>
          <w:p w:rsidR="00AF6355" w:rsidRPr="00125018" w:rsidRDefault="00AF6355" w:rsidP="00FF2DF8">
            <w:pPr>
              <w:jc w:val="center"/>
            </w:pPr>
            <w:r w:rsidRPr="00125018">
              <w:t>151</w:t>
            </w:r>
          </w:p>
        </w:tc>
        <w:tc>
          <w:tcPr>
            <w:tcW w:w="607" w:type="pct"/>
            <w:tcBorders>
              <w:bottom w:val="double" w:sz="4" w:space="0" w:color="auto"/>
            </w:tcBorders>
            <w:vAlign w:val="center"/>
          </w:tcPr>
          <w:p w:rsidR="00AF6355" w:rsidRPr="00125018" w:rsidRDefault="00AF6355" w:rsidP="00FF2DF8">
            <w:pPr>
              <w:jc w:val="center"/>
            </w:pPr>
            <w:r w:rsidRPr="00125018">
              <w:t>158</w:t>
            </w:r>
          </w:p>
        </w:tc>
        <w:tc>
          <w:tcPr>
            <w:tcW w:w="607" w:type="pct"/>
            <w:tcBorders>
              <w:bottom w:val="double" w:sz="4" w:space="0" w:color="auto"/>
            </w:tcBorders>
            <w:vAlign w:val="center"/>
          </w:tcPr>
          <w:p w:rsidR="00AF6355" w:rsidRPr="00F418E2" w:rsidRDefault="00AF6355" w:rsidP="00FF2DF8">
            <w:pPr>
              <w:jc w:val="center"/>
            </w:pPr>
            <w:r w:rsidRPr="00F418E2">
              <w:t>163</w:t>
            </w:r>
          </w:p>
        </w:tc>
      </w:tr>
    </w:tbl>
    <w:p w:rsidR="00AF6355" w:rsidRDefault="00AF6355" w:rsidP="00AF6355">
      <w:pPr>
        <w:ind w:firstLine="708"/>
        <w:jc w:val="both"/>
      </w:pPr>
    </w:p>
    <w:p w:rsidR="00AF6355" w:rsidRDefault="00AF6355" w:rsidP="00AF6355">
      <w:pPr>
        <w:ind w:firstLine="708"/>
        <w:jc w:val="both"/>
      </w:pPr>
      <w:r w:rsidRPr="00125018">
        <w:t>Soruşturma konusu ürünün birim sınai maliyeti incelen</w:t>
      </w:r>
      <w:r>
        <w:t>en dönem içerisinde toplamda %63</w:t>
      </w:r>
      <w:r w:rsidRPr="00125018">
        <w:t xml:space="preserve"> oranında artış kaydetmiştir. Sınai maliyette en yüksek oranlı artış 2011 yılında yaşanmıştır. </w:t>
      </w:r>
      <w:r>
        <w:t>M</w:t>
      </w:r>
      <w:r w:rsidRPr="00125018">
        <w:t>aliyette yaşanan bu artıştaki en önemli etken PTA’nın ana girdisi olan paraksilen ve paraksile</w:t>
      </w:r>
      <w:r>
        <w:t>nin girdisini oluşturan nafta</w:t>
      </w:r>
      <w:r w:rsidRPr="00125018">
        <w:t xml:space="preserve"> fiyatlarını birebir etkileyen ham petrol fiyatlarında yaşanan artıştır. Aşağıdaki tabloda ham petrolün ABD Doları cinsinden yıllık ortalama varil fiyatları yer almaktadır.</w:t>
      </w:r>
      <w:r w:rsidRPr="00125018">
        <w:rPr>
          <w:rStyle w:val="DipnotBavurusu"/>
        </w:rPr>
        <w:footnoteReference w:id="25"/>
      </w:r>
      <w:r w:rsidRPr="00125018">
        <w:t xml:space="preserve"> </w:t>
      </w:r>
    </w:p>
    <w:p w:rsidR="00B0060E" w:rsidRDefault="00B0060E" w:rsidP="00AF6355">
      <w:pPr>
        <w:ind w:firstLine="708"/>
        <w:jc w:val="both"/>
      </w:pPr>
    </w:p>
    <w:p w:rsidR="00AF6355" w:rsidRPr="00125018" w:rsidRDefault="00AF6355" w:rsidP="00AF6355">
      <w:pPr>
        <w:ind w:firstLine="708"/>
        <w:jc w:val="both"/>
      </w:pPr>
    </w:p>
    <w:tbl>
      <w:tblPr>
        <w:tblW w:w="5002"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2168"/>
        <w:gridCol w:w="1187"/>
        <w:gridCol w:w="1187"/>
        <w:gridCol w:w="1188"/>
        <w:gridCol w:w="1188"/>
        <w:gridCol w:w="1188"/>
        <w:gridCol w:w="1186"/>
      </w:tblGrid>
      <w:tr w:rsidR="00AF6355" w:rsidRPr="00125018" w:rsidTr="00FF2DF8">
        <w:trPr>
          <w:cantSplit/>
          <w:trHeight w:val="397"/>
          <w:tblHeader/>
        </w:trPr>
        <w:tc>
          <w:tcPr>
            <w:tcW w:w="1167" w:type="pct"/>
            <w:tcBorders>
              <w:top w:val="double" w:sz="4" w:space="0" w:color="auto"/>
              <w:bottom w:val="nil"/>
              <w:right w:val="nil"/>
            </w:tcBorders>
            <w:vAlign w:val="center"/>
          </w:tcPr>
          <w:p w:rsidR="00AF6355" w:rsidRPr="00125018" w:rsidRDefault="00AF6355" w:rsidP="00FF2DF8">
            <w:pPr>
              <w:jc w:val="both"/>
            </w:pPr>
            <w:r w:rsidRPr="00125018">
              <w:t>Petrol Fiyatları</w:t>
            </w:r>
          </w:p>
        </w:tc>
        <w:tc>
          <w:tcPr>
            <w:tcW w:w="639" w:type="pct"/>
            <w:tcBorders>
              <w:top w:val="double" w:sz="4" w:space="0" w:color="auto"/>
              <w:left w:val="nil"/>
              <w:bottom w:val="nil"/>
            </w:tcBorders>
            <w:vAlign w:val="center"/>
          </w:tcPr>
          <w:p w:rsidR="00AF6355" w:rsidRPr="00125018" w:rsidRDefault="00AF6355" w:rsidP="00FF2DF8">
            <w:pPr>
              <w:jc w:val="center"/>
            </w:pPr>
            <w:r w:rsidRPr="00125018">
              <w:t>2008</w:t>
            </w:r>
          </w:p>
        </w:tc>
        <w:tc>
          <w:tcPr>
            <w:tcW w:w="639" w:type="pct"/>
            <w:tcBorders>
              <w:top w:val="double" w:sz="4" w:space="0" w:color="auto"/>
              <w:bottom w:val="nil"/>
            </w:tcBorders>
            <w:vAlign w:val="center"/>
          </w:tcPr>
          <w:p w:rsidR="00AF6355" w:rsidRPr="00125018" w:rsidRDefault="00AF6355" w:rsidP="00FF2DF8">
            <w:pPr>
              <w:jc w:val="center"/>
            </w:pPr>
            <w:r w:rsidRPr="00125018">
              <w:t>2009</w:t>
            </w:r>
          </w:p>
        </w:tc>
        <w:tc>
          <w:tcPr>
            <w:tcW w:w="639" w:type="pct"/>
            <w:tcBorders>
              <w:top w:val="double" w:sz="4" w:space="0" w:color="auto"/>
              <w:bottom w:val="nil"/>
            </w:tcBorders>
            <w:vAlign w:val="center"/>
          </w:tcPr>
          <w:p w:rsidR="00AF6355" w:rsidRPr="00125018" w:rsidRDefault="00AF6355" w:rsidP="00FF2DF8">
            <w:pPr>
              <w:jc w:val="center"/>
            </w:pPr>
            <w:r w:rsidRPr="00125018">
              <w:t>2010</w:t>
            </w:r>
          </w:p>
        </w:tc>
        <w:tc>
          <w:tcPr>
            <w:tcW w:w="639" w:type="pct"/>
            <w:tcBorders>
              <w:top w:val="double" w:sz="4" w:space="0" w:color="auto"/>
              <w:bottom w:val="nil"/>
            </w:tcBorders>
            <w:vAlign w:val="center"/>
          </w:tcPr>
          <w:p w:rsidR="00AF6355" w:rsidRPr="00125018" w:rsidRDefault="00AF6355" w:rsidP="00FF2DF8">
            <w:pPr>
              <w:jc w:val="center"/>
            </w:pPr>
            <w:r w:rsidRPr="00125018">
              <w:t>2011</w:t>
            </w:r>
          </w:p>
        </w:tc>
        <w:tc>
          <w:tcPr>
            <w:tcW w:w="639" w:type="pct"/>
            <w:tcBorders>
              <w:top w:val="double" w:sz="4" w:space="0" w:color="auto"/>
              <w:bottom w:val="nil"/>
            </w:tcBorders>
            <w:vAlign w:val="center"/>
          </w:tcPr>
          <w:p w:rsidR="00AF6355" w:rsidRPr="00125018" w:rsidRDefault="00AF6355" w:rsidP="00FF2DF8">
            <w:pPr>
              <w:jc w:val="center"/>
            </w:pPr>
            <w:r w:rsidRPr="00125018">
              <w:t>2012</w:t>
            </w:r>
          </w:p>
        </w:tc>
        <w:tc>
          <w:tcPr>
            <w:tcW w:w="639" w:type="pct"/>
            <w:tcBorders>
              <w:top w:val="double" w:sz="4" w:space="0" w:color="auto"/>
              <w:bottom w:val="nil"/>
            </w:tcBorders>
            <w:vAlign w:val="center"/>
          </w:tcPr>
          <w:p w:rsidR="00AF6355" w:rsidRPr="00125018" w:rsidRDefault="00AF6355" w:rsidP="00FF2DF8">
            <w:pPr>
              <w:jc w:val="center"/>
            </w:pPr>
            <w:r>
              <w:t>2013</w:t>
            </w:r>
          </w:p>
        </w:tc>
      </w:tr>
      <w:tr w:rsidR="00AF6355" w:rsidRPr="00125018" w:rsidTr="00FF2DF8">
        <w:trPr>
          <w:cantSplit/>
          <w:trHeight w:val="397"/>
        </w:trPr>
        <w:tc>
          <w:tcPr>
            <w:tcW w:w="1167" w:type="pct"/>
            <w:tcBorders>
              <w:top w:val="nil"/>
              <w:bottom w:val="nil"/>
              <w:right w:val="nil"/>
            </w:tcBorders>
            <w:vAlign w:val="center"/>
          </w:tcPr>
          <w:p w:rsidR="00AF6355" w:rsidRPr="00125018" w:rsidRDefault="00AF6355" w:rsidP="00FF2DF8">
            <w:pPr>
              <w:jc w:val="both"/>
            </w:pPr>
            <w:r w:rsidRPr="00125018">
              <w:t xml:space="preserve">Ham petrol </w:t>
            </w:r>
          </w:p>
          <w:p w:rsidR="00AF6355" w:rsidRPr="00125018" w:rsidRDefault="00AF6355" w:rsidP="00FF2DF8">
            <w:pPr>
              <w:jc w:val="both"/>
            </w:pPr>
            <w:r w:rsidRPr="00125018">
              <w:t>(ABD Doları/Varil)</w:t>
            </w:r>
          </w:p>
        </w:tc>
        <w:tc>
          <w:tcPr>
            <w:tcW w:w="639" w:type="pct"/>
            <w:tcBorders>
              <w:top w:val="nil"/>
              <w:left w:val="nil"/>
            </w:tcBorders>
            <w:vAlign w:val="center"/>
          </w:tcPr>
          <w:p w:rsidR="00AF6355" w:rsidRPr="00125018" w:rsidRDefault="00AF6355" w:rsidP="00FF2DF8">
            <w:pPr>
              <w:jc w:val="center"/>
            </w:pPr>
            <w:r w:rsidRPr="00125018">
              <w:t>97</w:t>
            </w:r>
          </w:p>
        </w:tc>
        <w:tc>
          <w:tcPr>
            <w:tcW w:w="639" w:type="pct"/>
            <w:tcBorders>
              <w:top w:val="nil"/>
            </w:tcBorders>
            <w:vAlign w:val="center"/>
          </w:tcPr>
          <w:p w:rsidR="00AF6355" w:rsidRPr="00125018" w:rsidRDefault="00AF6355" w:rsidP="00FF2DF8">
            <w:pPr>
              <w:jc w:val="center"/>
            </w:pPr>
            <w:r w:rsidRPr="00125018">
              <w:t>62</w:t>
            </w:r>
          </w:p>
        </w:tc>
        <w:tc>
          <w:tcPr>
            <w:tcW w:w="639" w:type="pct"/>
            <w:tcBorders>
              <w:top w:val="nil"/>
            </w:tcBorders>
            <w:vAlign w:val="center"/>
          </w:tcPr>
          <w:p w:rsidR="00AF6355" w:rsidRPr="00125018" w:rsidRDefault="00AF6355" w:rsidP="00FF2DF8">
            <w:pPr>
              <w:jc w:val="center"/>
            </w:pPr>
            <w:r w:rsidRPr="00125018">
              <w:t>79</w:t>
            </w:r>
          </w:p>
        </w:tc>
        <w:tc>
          <w:tcPr>
            <w:tcW w:w="639" w:type="pct"/>
            <w:tcBorders>
              <w:top w:val="nil"/>
            </w:tcBorders>
            <w:vAlign w:val="center"/>
          </w:tcPr>
          <w:p w:rsidR="00AF6355" w:rsidRPr="00125018" w:rsidRDefault="00AF6355" w:rsidP="00FF2DF8">
            <w:pPr>
              <w:jc w:val="center"/>
            </w:pPr>
            <w:r w:rsidRPr="00125018">
              <w:t>104</w:t>
            </w:r>
          </w:p>
        </w:tc>
        <w:tc>
          <w:tcPr>
            <w:tcW w:w="639" w:type="pct"/>
            <w:tcBorders>
              <w:top w:val="nil"/>
            </w:tcBorders>
            <w:vAlign w:val="center"/>
          </w:tcPr>
          <w:p w:rsidR="00AF6355" w:rsidRPr="00125018" w:rsidRDefault="00AF6355" w:rsidP="00FF2DF8">
            <w:pPr>
              <w:jc w:val="center"/>
            </w:pPr>
            <w:r w:rsidRPr="00125018">
              <w:t>105</w:t>
            </w:r>
          </w:p>
        </w:tc>
        <w:tc>
          <w:tcPr>
            <w:tcW w:w="639" w:type="pct"/>
            <w:tcBorders>
              <w:top w:val="nil"/>
            </w:tcBorders>
            <w:vAlign w:val="center"/>
          </w:tcPr>
          <w:p w:rsidR="00AF6355" w:rsidRPr="00125018" w:rsidRDefault="00AF6355" w:rsidP="00FF2DF8">
            <w:pPr>
              <w:jc w:val="center"/>
            </w:pPr>
            <w:r>
              <w:t>104</w:t>
            </w:r>
          </w:p>
        </w:tc>
      </w:tr>
      <w:tr w:rsidR="00AF6355" w:rsidRPr="00125018" w:rsidTr="00FF2DF8">
        <w:trPr>
          <w:cantSplit/>
          <w:trHeight w:val="397"/>
        </w:trPr>
        <w:tc>
          <w:tcPr>
            <w:tcW w:w="1167" w:type="pct"/>
            <w:tcBorders>
              <w:top w:val="nil"/>
              <w:bottom w:val="double" w:sz="4" w:space="0" w:color="auto"/>
              <w:right w:val="nil"/>
            </w:tcBorders>
            <w:vAlign w:val="center"/>
          </w:tcPr>
          <w:p w:rsidR="00AF6355" w:rsidRPr="00125018" w:rsidRDefault="00AF6355" w:rsidP="00FF2DF8">
            <w:pPr>
              <w:jc w:val="both"/>
            </w:pPr>
            <w:r w:rsidRPr="00125018">
              <w:t>Değişim (%)</w:t>
            </w:r>
          </w:p>
        </w:tc>
        <w:tc>
          <w:tcPr>
            <w:tcW w:w="639" w:type="pct"/>
            <w:tcBorders>
              <w:left w:val="nil"/>
              <w:bottom w:val="double" w:sz="4" w:space="0" w:color="auto"/>
            </w:tcBorders>
            <w:vAlign w:val="center"/>
          </w:tcPr>
          <w:p w:rsidR="00AF6355" w:rsidRPr="00125018" w:rsidRDefault="00AF6355" w:rsidP="00FF2DF8">
            <w:pPr>
              <w:jc w:val="center"/>
            </w:pPr>
            <w:r w:rsidRPr="00125018">
              <w:t>-</w:t>
            </w:r>
          </w:p>
        </w:tc>
        <w:tc>
          <w:tcPr>
            <w:tcW w:w="639" w:type="pct"/>
            <w:tcBorders>
              <w:bottom w:val="double" w:sz="4" w:space="0" w:color="auto"/>
            </w:tcBorders>
            <w:vAlign w:val="center"/>
          </w:tcPr>
          <w:p w:rsidR="00AF6355" w:rsidRPr="00125018" w:rsidRDefault="00AF6355" w:rsidP="00FF2DF8">
            <w:pPr>
              <w:jc w:val="center"/>
            </w:pPr>
            <w:r w:rsidRPr="00125018">
              <w:t>-36</w:t>
            </w:r>
          </w:p>
        </w:tc>
        <w:tc>
          <w:tcPr>
            <w:tcW w:w="639" w:type="pct"/>
            <w:tcBorders>
              <w:bottom w:val="double" w:sz="4" w:space="0" w:color="auto"/>
            </w:tcBorders>
            <w:vAlign w:val="center"/>
          </w:tcPr>
          <w:p w:rsidR="00AF6355" w:rsidRPr="00125018" w:rsidRDefault="00AF6355" w:rsidP="00FF2DF8">
            <w:pPr>
              <w:jc w:val="center"/>
            </w:pPr>
            <w:r w:rsidRPr="00125018">
              <w:t>28</w:t>
            </w:r>
          </w:p>
        </w:tc>
        <w:tc>
          <w:tcPr>
            <w:tcW w:w="639" w:type="pct"/>
            <w:tcBorders>
              <w:bottom w:val="double" w:sz="4" w:space="0" w:color="auto"/>
            </w:tcBorders>
            <w:vAlign w:val="center"/>
          </w:tcPr>
          <w:p w:rsidR="00AF6355" w:rsidRPr="00125018" w:rsidRDefault="00AF6355" w:rsidP="00FF2DF8">
            <w:pPr>
              <w:jc w:val="center"/>
            </w:pPr>
            <w:r w:rsidRPr="00125018">
              <w:t>32</w:t>
            </w:r>
          </w:p>
        </w:tc>
        <w:tc>
          <w:tcPr>
            <w:tcW w:w="639" w:type="pct"/>
            <w:tcBorders>
              <w:bottom w:val="double" w:sz="4" w:space="0" w:color="auto"/>
            </w:tcBorders>
            <w:vAlign w:val="center"/>
          </w:tcPr>
          <w:p w:rsidR="00AF6355" w:rsidRPr="00125018" w:rsidRDefault="00AF6355" w:rsidP="00FF2DF8">
            <w:pPr>
              <w:jc w:val="center"/>
            </w:pPr>
            <w:r w:rsidRPr="00125018">
              <w:t>1</w:t>
            </w:r>
          </w:p>
        </w:tc>
        <w:tc>
          <w:tcPr>
            <w:tcW w:w="639" w:type="pct"/>
            <w:tcBorders>
              <w:bottom w:val="double" w:sz="4" w:space="0" w:color="auto"/>
            </w:tcBorders>
            <w:vAlign w:val="center"/>
          </w:tcPr>
          <w:p w:rsidR="00AF6355" w:rsidRPr="00125018" w:rsidRDefault="00AF6355" w:rsidP="00FF2DF8">
            <w:pPr>
              <w:jc w:val="center"/>
            </w:pPr>
            <w:r>
              <w:t>-1</w:t>
            </w:r>
          </w:p>
        </w:tc>
      </w:tr>
    </w:tbl>
    <w:p w:rsidR="00AF6355" w:rsidRPr="00125018" w:rsidRDefault="00AF6355" w:rsidP="00AF6355">
      <w:pPr>
        <w:jc w:val="both"/>
      </w:pPr>
    </w:p>
    <w:p w:rsidR="00AF6355" w:rsidRDefault="00AF6355" w:rsidP="00AF6355">
      <w:pPr>
        <w:ind w:firstLine="708"/>
        <w:jc w:val="both"/>
      </w:pPr>
      <w:r w:rsidRPr="00F418E2">
        <w:t>Ham petrolün varil fiyatı 2009 yılında 2008 yılına göre %36</w:t>
      </w:r>
      <w:r>
        <w:t xml:space="preserve"> oranında gerilemiş, izleyen iki yılda fiyatlar %28 ve %32 oranında</w:t>
      </w:r>
      <w:r w:rsidRPr="00F418E2">
        <w:t xml:space="preserve"> </w:t>
      </w:r>
      <w:r>
        <w:t>artarak 2011 yılında 104 ABD Dolarına</w:t>
      </w:r>
      <w:r w:rsidRPr="00F418E2">
        <w:t xml:space="preserve"> yükselmiştir. </w:t>
      </w:r>
      <w:r>
        <w:t xml:space="preserve">2012 ve 2013 yıllarında da petrol fiyatı bu seviyede kalmıştır. </w:t>
      </w:r>
    </w:p>
    <w:p w:rsidR="00AF6355" w:rsidRDefault="00AF6355" w:rsidP="00AF6355">
      <w:pPr>
        <w:ind w:firstLine="708"/>
        <w:jc w:val="both"/>
      </w:pPr>
    </w:p>
    <w:p w:rsidR="00AF6355" w:rsidRPr="00F418E2" w:rsidRDefault="00AF6355" w:rsidP="00AF6355">
      <w:pPr>
        <w:ind w:firstLine="708"/>
        <w:jc w:val="both"/>
      </w:pPr>
      <w:r>
        <w:t>Yukarıdaki tabloda kullanılan verilerden yararlanılarak oluşturulan a</w:t>
      </w:r>
      <w:r w:rsidRPr="00F418E2">
        <w:t xml:space="preserve">şağıdaki grafikte görüleceği gibi ham petrolün varil fiyatı Aralık 2008’de 41 </w:t>
      </w:r>
      <w:r>
        <w:t>ABD Doları</w:t>
      </w:r>
      <w:r w:rsidRPr="00F418E2">
        <w:t xml:space="preserve"> ile </w:t>
      </w:r>
      <w:r>
        <w:t xml:space="preserve">inceleme dönemindeki </w:t>
      </w:r>
      <w:r w:rsidRPr="00F418E2">
        <w:t xml:space="preserve">en düşük </w:t>
      </w:r>
      <w:r>
        <w:t>seviyeyi</w:t>
      </w:r>
      <w:r w:rsidRPr="00F418E2">
        <w:t xml:space="preserve"> görmüş, bu tarihten itibaren ise artmaya başlamıştır.  </w:t>
      </w:r>
      <w:r>
        <w:t xml:space="preserve">12 aylık hareketli ortalamaya baktığımızda da Ekim 2009’dan itibaren fiyatın Nisan 2012’ye kadar sürekli arttığı görülmektedir. </w:t>
      </w:r>
      <w:r w:rsidRPr="00F418E2">
        <w:t xml:space="preserve">2009-2010 yılları Ekim ayları arasında yatay bir seyir izleyen ham petrol fiyatları, 2010 </w:t>
      </w:r>
      <w:r>
        <w:t>yılı Eylül ayında</w:t>
      </w:r>
      <w:r w:rsidRPr="00F418E2">
        <w:t xml:space="preserve"> 76 </w:t>
      </w:r>
      <w:r>
        <w:t>ABD Doları/V</w:t>
      </w:r>
      <w:r w:rsidRPr="00F418E2">
        <w:t xml:space="preserve">aril seviyesindeyken Nisan 2011 itibariyle 116 </w:t>
      </w:r>
      <w:r>
        <w:t>ABD Doları/V</w:t>
      </w:r>
      <w:r w:rsidRPr="00F418E2">
        <w:t xml:space="preserve">aril seviyesine yükselmiş ve 2012 yılı sonuna kadar ortalama 105 </w:t>
      </w:r>
      <w:r>
        <w:t>ABD Doları/V</w:t>
      </w:r>
      <w:r w:rsidRPr="00F418E2">
        <w:t xml:space="preserve">aril seviyesinde seyretmiştir. 2012 </w:t>
      </w:r>
      <w:r>
        <w:t xml:space="preserve">ve 2013 yıllarında </w:t>
      </w:r>
      <w:r w:rsidRPr="00F418E2">
        <w:t>12 aylık hareketli ortalama fiyat 105</w:t>
      </w:r>
      <w:r>
        <w:t xml:space="preserve"> ABD Doları/V</w:t>
      </w:r>
      <w:r w:rsidRPr="00F418E2">
        <w:t>aril</w:t>
      </w:r>
      <w:r>
        <w:t xml:space="preserve"> seviyesinde</w:t>
      </w:r>
      <w:r w:rsidRPr="00F418E2">
        <w:t xml:space="preserve"> seyretmiştir. </w:t>
      </w:r>
    </w:p>
    <w:p w:rsidR="00AF6355" w:rsidRDefault="00AF6355" w:rsidP="00AF6355">
      <w:pPr>
        <w:jc w:val="both"/>
        <w:rPr>
          <w:highlight w:val="yellow"/>
        </w:rPr>
      </w:pPr>
      <w:r>
        <w:rPr>
          <w:highlight w:val="yellow"/>
        </w:rPr>
        <w:t xml:space="preserve"> </w:t>
      </w:r>
    </w:p>
    <w:p w:rsidR="00AF6355" w:rsidRPr="00125018" w:rsidRDefault="00AF6355" w:rsidP="00AF6355">
      <w:pPr>
        <w:jc w:val="both"/>
        <w:rPr>
          <w:highlight w:val="yellow"/>
        </w:rPr>
      </w:pPr>
      <w:r>
        <w:rPr>
          <w:noProof/>
        </w:rPr>
        <w:drawing>
          <wp:inline distT="0" distB="0" distL="0" distR="0" wp14:anchorId="78CCBE38" wp14:editId="61AA72A3">
            <wp:extent cx="5743575" cy="3048000"/>
            <wp:effectExtent l="19050" t="19050" r="9525" b="1905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F6355" w:rsidRDefault="00AF6355" w:rsidP="00AF6355">
      <w:pPr>
        <w:ind w:firstLine="708"/>
        <w:jc w:val="both"/>
        <w:rPr>
          <w:highlight w:val="yellow"/>
        </w:rPr>
      </w:pPr>
    </w:p>
    <w:p w:rsidR="00AF6355" w:rsidRDefault="00AF6355" w:rsidP="00AF6355">
      <w:pPr>
        <w:ind w:firstLine="708"/>
        <w:jc w:val="both"/>
      </w:pPr>
      <w:r w:rsidRPr="00AA764F">
        <w:t xml:space="preserve">Eylül 2010’dan itibaren başlayan ve 2011 yılında da </w:t>
      </w:r>
      <w:r w:rsidR="00FF2DF8">
        <w:t xml:space="preserve">devam eden </w:t>
      </w:r>
      <w:r w:rsidRPr="00AA764F">
        <w:t xml:space="preserve">petrol fiyatlarında yaşanan önemli artışlar yerli üreticinin maliyetine 2011 yılında yansımış izleyen iki yılda ise maliyetlerdeki artış sınırlı olmuştur. Diğer taraftan tüm dünyada </w:t>
      </w:r>
      <w:proofErr w:type="spellStart"/>
      <w:r w:rsidRPr="00AA764F">
        <w:t>PTA</w:t>
      </w:r>
      <w:proofErr w:type="spellEnd"/>
      <w:r w:rsidRPr="00AA764F">
        <w:t xml:space="preserve"> fiyatları paraksilen fiyatlarının veri alındığı, yine tüm dünyada sabit bulunan bir dönüşüm oranının üzerine firmaların </w:t>
      </w:r>
      <w:proofErr w:type="spellStart"/>
      <w:r w:rsidRPr="00AA764F">
        <w:t>paraksilenden</w:t>
      </w:r>
      <w:proofErr w:type="spellEnd"/>
      <w:r w:rsidRPr="00AA764F">
        <w:t xml:space="preserve"> </w:t>
      </w:r>
      <w:proofErr w:type="spellStart"/>
      <w:r w:rsidRPr="00AA764F">
        <w:t>PTA’ya</w:t>
      </w:r>
      <w:proofErr w:type="spellEnd"/>
      <w:r w:rsidRPr="00AA764F">
        <w:t xml:space="preserve"> çevrim maliyetlerini ekledikleri bir formülle hesaplanmaktadır. Bu nedenle petrolde yaşanan artış neticesinde yalnızca yerli üreticinin değil rakiplerinin de maliyetleri aynı şekilde azalıp artmaktadır. Petkim’in maliyet verileri incelendiğinde petrol fiyatlarında yaşanan artış dışında maliyetlerini artıracak bir husus olmadığı görülmektedir. </w:t>
      </w:r>
      <w:r w:rsidR="001E0474">
        <w:t xml:space="preserve">  </w:t>
      </w:r>
    </w:p>
    <w:p w:rsidR="00B0060E" w:rsidRPr="00AF6355" w:rsidRDefault="00B0060E" w:rsidP="00B0060E">
      <w:pPr>
        <w:pStyle w:val="Balk3"/>
      </w:pPr>
      <w:r>
        <w:lastRenderedPageBreak/>
        <w:t xml:space="preserve">Üretim </w:t>
      </w:r>
      <w:r w:rsidR="00C42474">
        <w:t xml:space="preserve">teknolojisi </w:t>
      </w:r>
    </w:p>
    <w:p w:rsidR="00B0060E" w:rsidRPr="008129B1" w:rsidRDefault="00B0060E" w:rsidP="00B0060E">
      <w:pPr>
        <w:ind w:firstLine="708"/>
        <w:jc w:val="both"/>
        <w:rPr>
          <w:rFonts w:cs="Arial"/>
          <w:b/>
          <w:bCs/>
          <w:vanish/>
          <w:szCs w:val="16"/>
        </w:rPr>
      </w:pPr>
    </w:p>
    <w:p w:rsidR="00B0060E" w:rsidRPr="008129B1" w:rsidRDefault="00B0060E" w:rsidP="00B0060E">
      <w:pPr>
        <w:pStyle w:val="ListeParagraf"/>
        <w:keepNext/>
        <w:numPr>
          <w:ilvl w:val="0"/>
          <w:numId w:val="8"/>
        </w:numPr>
        <w:spacing w:before="240" w:after="240" w:line="240" w:lineRule="auto"/>
        <w:contextualSpacing w:val="0"/>
        <w:jc w:val="both"/>
        <w:outlineLvl w:val="3"/>
        <w:rPr>
          <w:rFonts w:ascii="Times New Roman" w:eastAsia="Times New Roman" w:hAnsi="Times New Roman" w:cs="Arial"/>
          <w:b/>
          <w:bCs/>
          <w:vanish/>
          <w:sz w:val="24"/>
          <w:szCs w:val="16"/>
          <w:lang w:eastAsia="tr-TR"/>
        </w:rPr>
      </w:pPr>
    </w:p>
    <w:p w:rsidR="00B0060E" w:rsidRPr="008129B1" w:rsidRDefault="00B0060E" w:rsidP="00B0060E">
      <w:pPr>
        <w:pStyle w:val="ListeParagraf"/>
        <w:keepNext/>
        <w:numPr>
          <w:ilvl w:val="0"/>
          <w:numId w:val="8"/>
        </w:numPr>
        <w:spacing w:before="240" w:after="240" w:line="240" w:lineRule="auto"/>
        <w:contextualSpacing w:val="0"/>
        <w:jc w:val="both"/>
        <w:outlineLvl w:val="3"/>
        <w:rPr>
          <w:rFonts w:ascii="Times New Roman" w:eastAsia="Times New Roman" w:hAnsi="Times New Roman" w:cs="Arial"/>
          <w:b/>
          <w:bCs/>
          <w:vanish/>
          <w:sz w:val="24"/>
          <w:szCs w:val="16"/>
          <w:lang w:eastAsia="tr-TR"/>
        </w:rPr>
      </w:pPr>
    </w:p>
    <w:p w:rsidR="00B0060E" w:rsidRPr="008129B1" w:rsidRDefault="00B0060E" w:rsidP="00B0060E">
      <w:pPr>
        <w:pStyle w:val="ListeParagraf"/>
        <w:keepNext/>
        <w:numPr>
          <w:ilvl w:val="1"/>
          <w:numId w:val="8"/>
        </w:numPr>
        <w:spacing w:before="240" w:after="240" w:line="240" w:lineRule="auto"/>
        <w:contextualSpacing w:val="0"/>
        <w:jc w:val="both"/>
        <w:outlineLvl w:val="3"/>
        <w:rPr>
          <w:rFonts w:ascii="Times New Roman" w:eastAsia="Times New Roman" w:hAnsi="Times New Roman" w:cs="Arial"/>
          <w:b/>
          <w:bCs/>
          <w:vanish/>
          <w:sz w:val="24"/>
          <w:szCs w:val="16"/>
          <w:lang w:eastAsia="tr-TR"/>
        </w:rPr>
      </w:pPr>
    </w:p>
    <w:p w:rsidR="00B0060E" w:rsidRPr="008129B1" w:rsidRDefault="00B0060E" w:rsidP="00B0060E">
      <w:pPr>
        <w:pStyle w:val="ListeParagraf"/>
        <w:keepNext/>
        <w:numPr>
          <w:ilvl w:val="1"/>
          <w:numId w:val="8"/>
        </w:numPr>
        <w:spacing w:before="240" w:after="240" w:line="240" w:lineRule="auto"/>
        <w:contextualSpacing w:val="0"/>
        <w:jc w:val="both"/>
        <w:outlineLvl w:val="3"/>
        <w:rPr>
          <w:rFonts w:ascii="Times New Roman" w:eastAsia="Times New Roman" w:hAnsi="Times New Roman" w:cs="Arial"/>
          <w:b/>
          <w:bCs/>
          <w:vanish/>
          <w:sz w:val="24"/>
          <w:szCs w:val="16"/>
          <w:lang w:eastAsia="tr-TR"/>
        </w:rPr>
      </w:pPr>
    </w:p>
    <w:p w:rsidR="00B0060E" w:rsidRDefault="00B0060E" w:rsidP="00B0060E">
      <w:pPr>
        <w:ind w:firstLine="708"/>
        <w:jc w:val="both"/>
      </w:pPr>
      <w:r>
        <w:t>B</w:t>
      </w:r>
      <w:r w:rsidRPr="005B2647">
        <w:t xml:space="preserve">aşvuru sahibi firmanın eski teknoloji ile üretim yaptığı ve bu nedenle yüksek maliyetlerle karşı karşıya kaldığı ve ithalat ile rekabet edemediği iddia edilmektedir. Herhangi bir yerli üreticinin eski teknolojiye dayalı üretim yapması nedeniyle ithal ürünlerle rekabet etmede zorluk yaşaması mümkündür. Ancak bilindiği gibi korunma önlemi yerli üreticilerin yeni şartlara uyum sağlamasını amaçlamaktadır. Başvuru sahibi firmanın ithalat ile rekabet etmede karşılaştığı zorluk teknolojik yapısından değil ithalatın ciddi, ani ve keskin bir şekilde artmasından kaynaklanmaktadır. </w:t>
      </w:r>
      <w:r>
        <w:t xml:space="preserve">İnceleme dönemi içinde yerli üretici aynı teknoloji ve üretim tesisi ile %100’ün üzerinde kapasite kullanım oranlarına ulaşmış ve rekabetçi fiyatlardan ürünü pazarlayabilmiştir. </w:t>
      </w:r>
    </w:p>
    <w:p w:rsidR="00B0060E" w:rsidRDefault="00B0060E" w:rsidP="00B0060E">
      <w:pPr>
        <w:ind w:firstLine="708"/>
        <w:jc w:val="both"/>
      </w:pPr>
    </w:p>
    <w:p w:rsidR="00B0060E" w:rsidRPr="003E377A" w:rsidRDefault="00B0060E" w:rsidP="00B0060E">
      <w:pPr>
        <w:ind w:firstLine="708"/>
        <w:jc w:val="both"/>
        <w:rPr>
          <w:color w:val="FF0000"/>
        </w:rPr>
      </w:pPr>
      <w:r>
        <w:t>Son olarak</w:t>
      </w:r>
      <w:r w:rsidRPr="005B2647">
        <w:t>, firmanın üretim teknolojisi mevzuat açısından değerlendirilmesi gereken temel konular arasında yer almamaktadır.</w:t>
      </w:r>
      <w:r>
        <w:t xml:space="preserve"> Yerli üreticinin yurtiçi piyasada rekabet içinde olduğu ihracatçı firmalardan Belçika’da yerleşik olanı 1969 ve 1991 yıllarında kurulan tesislerde üretim yapmaktadır. </w:t>
      </w:r>
    </w:p>
    <w:p w:rsidR="00B0060E" w:rsidRDefault="00AF6355" w:rsidP="00AF6355">
      <w:pPr>
        <w:pStyle w:val="Balk3"/>
      </w:pPr>
      <w:r>
        <w:t>Kapa</w:t>
      </w:r>
      <w:r w:rsidR="00B0060E">
        <w:t>site</w:t>
      </w:r>
    </w:p>
    <w:p w:rsidR="00B0060E" w:rsidRDefault="00B0060E" w:rsidP="00B0060E">
      <w:pPr>
        <w:ind w:firstLine="708"/>
        <w:jc w:val="both"/>
      </w:pPr>
      <w:r w:rsidRPr="00125018">
        <w:t>Yerli üreticinin kurulu kapasitesi incelenen dönemde sabit kal</w:t>
      </w:r>
      <w:r>
        <w:t>mış olup ithalat artışının yaşandığı son iki yıl kapasite kullanım oranı düşük seyretmiştir. Bu çerçevede k</w:t>
      </w:r>
      <w:r w:rsidRPr="00125018">
        <w:t>apasite</w:t>
      </w:r>
      <w:r>
        <w:t>nin</w:t>
      </w:r>
      <w:r w:rsidRPr="00125018">
        <w:t xml:space="preserve"> ciddi zarar üzerinde etkisi olan bir faktör olarak değerlendirileme</w:t>
      </w:r>
      <w:r>
        <w:t>yeceği sonucuna ulaşılmaktadır.</w:t>
      </w:r>
    </w:p>
    <w:p w:rsidR="004328B1" w:rsidRPr="00125018" w:rsidRDefault="004328B1" w:rsidP="00F43206">
      <w:pPr>
        <w:pStyle w:val="Balk2"/>
      </w:pPr>
      <w:bookmarkStart w:id="155" w:name="_Toc384116997"/>
      <w:r w:rsidRPr="00125018">
        <w:t>DEĞERLENDİRME VE SONUÇ</w:t>
      </w:r>
      <w:bookmarkEnd w:id="155"/>
    </w:p>
    <w:p w:rsidR="004328B1" w:rsidRPr="005E390C" w:rsidRDefault="004328B1" w:rsidP="00F43206">
      <w:pPr>
        <w:ind w:firstLine="708"/>
        <w:jc w:val="both"/>
      </w:pPr>
      <w:r w:rsidRPr="005E390C">
        <w:t xml:space="preserve">Soruşturma konusu </w:t>
      </w:r>
      <w:r w:rsidR="00842C02" w:rsidRPr="005E390C">
        <w:t xml:space="preserve">tereftalik </w:t>
      </w:r>
      <w:proofErr w:type="spellStart"/>
      <w:r w:rsidR="00842C02" w:rsidRPr="005E390C">
        <w:t>asitin</w:t>
      </w:r>
      <w:proofErr w:type="spellEnd"/>
      <w:r w:rsidRPr="005E390C">
        <w:t xml:space="preserve"> ithalatı, incelenen dönem içerisinde önemli </w:t>
      </w:r>
      <w:r w:rsidR="00842C02" w:rsidRPr="005E390C">
        <w:t>düzeyde artış kaydetmiştir. 2008 yılından 2013</w:t>
      </w:r>
      <w:r w:rsidRPr="005E390C">
        <w:t xml:space="preserve"> yılına </w:t>
      </w:r>
      <w:r w:rsidR="00842C02" w:rsidRPr="005E390C">
        <w:t>2</w:t>
      </w:r>
      <w:r w:rsidRPr="005E390C">
        <w:t xml:space="preserve"> kat</w:t>
      </w:r>
      <w:r w:rsidR="00842C02" w:rsidRPr="005E390C">
        <w:t xml:space="preserve">tan fazla </w:t>
      </w:r>
      <w:r w:rsidR="0091288F">
        <w:t>artan</w:t>
      </w:r>
      <w:r w:rsidR="00842C02" w:rsidRPr="005E390C">
        <w:t xml:space="preserve"> ithalat, 2010 ve 2011 yıllarında sırasıyla %6 ve %3 oran</w:t>
      </w:r>
      <w:r w:rsidR="00C0464F">
        <w:t>lar</w:t>
      </w:r>
      <w:r w:rsidR="00842C02" w:rsidRPr="005E390C">
        <w:t>ında artarken, 2012 ve 2013 yıllarında sırasıyla %32 ve %24 oranlarında</w:t>
      </w:r>
      <w:r w:rsidRPr="005E390C">
        <w:t xml:space="preserve"> </w:t>
      </w:r>
      <w:r w:rsidR="00842C02" w:rsidRPr="005E390C">
        <w:t>artmıştır</w:t>
      </w:r>
      <w:r w:rsidRPr="005E390C">
        <w:t xml:space="preserve">. Bu veriler, soruşturma konusu ürün ithalatında </w:t>
      </w:r>
      <w:r w:rsidR="00842C02" w:rsidRPr="005E390C">
        <w:t>yakın zamanda</w:t>
      </w:r>
      <w:r w:rsidR="00B26687">
        <w:t xml:space="preserve"> ciddi,</w:t>
      </w:r>
      <w:r w:rsidR="00842C02" w:rsidRPr="005E390C">
        <w:t xml:space="preserve"> </w:t>
      </w:r>
      <w:r w:rsidR="00F54FC0">
        <w:t>önemli</w:t>
      </w:r>
      <w:r w:rsidRPr="005E390C">
        <w:t xml:space="preserve"> ve keskin bir artış yaşandığına işaret etmektedir.</w:t>
      </w:r>
    </w:p>
    <w:p w:rsidR="00F43206" w:rsidRPr="005E390C" w:rsidRDefault="00F43206" w:rsidP="00F43206">
      <w:pPr>
        <w:ind w:firstLine="708"/>
        <w:jc w:val="both"/>
      </w:pPr>
    </w:p>
    <w:p w:rsidR="004328B1" w:rsidRPr="005E390C" w:rsidRDefault="004328B1" w:rsidP="00F43206">
      <w:pPr>
        <w:ind w:firstLine="708"/>
        <w:jc w:val="both"/>
      </w:pPr>
      <w:r w:rsidRPr="005E390C">
        <w:t>Bunun yanında, başvuru sahibi yerli üreticin</w:t>
      </w:r>
      <w:r w:rsidR="00842C02" w:rsidRPr="005E390C">
        <w:t>in ekonomik göstergelerinde 2012</w:t>
      </w:r>
      <w:r w:rsidRPr="005E390C">
        <w:t xml:space="preserve"> yılında başlayan bozulma </w:t>
      </w:r>
      <w:r w:rsidR="00842C02" w:rsidRPr="005E390C">
        <w:t>2013 yılında da</w:t>
      </w:r>
      <w:r w:rsidRPr="005E390C">
        <w:t xml:space="preserve"> devam </w:t>
      </w:r>
      <w:r w:rsidR="00842C02" w:rsidRPr="005E390C">
        <w:t>etmiş ve 2012 yılında ara verilen üretim faaliyeti 2013 yılında da kesintiye uğramıştır. Bu iki yıldaki ortalama kapasite kullanım oranı %41 olarak gerçekleşmiştir.</w:t>
      </w:r>
      <w:r w:rsidRPr="005E390C">
        <w:t xml:space="preserve"> </w:t>
      </w:r>
      <w:r w:rsidR="00115CE5">
        <w:t>Hâlihazırda</w:t>
      </w:r>
      <w:r w:rsidR="0091288F">
        <w:t xml:space="preserve"> üretim faaliyetinin yapılma</w:t>
      </w:r>
      <w:r w:rsidR="00CC2D6B">
        <w:t>ması,</w:t>
      </w:r>
      <w:r w:rsidR="00842C02" w:rsidRPr="005E390C">
        <w:t xml:space="preserve"> </w:t>
      </w:r>
      <w:r w:rsidR="008C799E">
        <w:t xml:space="preserve">üretim, kapasite kullanım oranı, </w:t>
      </w:r>
      <w:r w:rsidR="00842C02" w:rsidRPr="005E390C">
        <w:t>yurt</w:t>
      </w:r>
      <w:r w:rsidR="00E73285">
        <w:t xml:space="preserve"> </w:t>
      </w:r>
      <w:r w:rsidR="00842C02" w:rsidRPr="005E390C">
        <w:t>içi ve yurt</w:t>
      </w:r>
      <w:r w:rsidR="00E73285">
        <w:t xml:space="preserve"> </w:t>
      </w:r>
      <w:r w:rsidR="00842C02" w:rsidRPr="005E390C">
        <w:t>dışı satış, istihdam ve karlılık verilerinin son iki yılda düşüyor</w:t>
      </w:r>
      <w:r w:rsidRPr="005E390C">
        <w:t xml:space="preserve"> olması yerli üretimde ciddi zararın varlığını açıkça ortaya koymaktadır.</w:t>
      </w:r>
    </w:p>
    <w:p w:rsidR="00F43206" w:rsidRPr="005E390C" w:rsidRDefault="00F43206" w:rsidP="00F43206">
      <w:pPr>
        <w:ind w:firstLine="708"/>
        <w:jc w:val="both"/>
      </w:pPr>
    </w:p>
    <w:p w:rsidR="00F43206" w:rsidRDefault="004328B1" w:rsidP="00F43206">
      <w:pPr>
        <w:ind w:firstLine="708"/>
        <w:jc w:val="both"/>
      </w:pPr>
      <w:r w:rsidRPr="005E390C">
        <w:t xml:space="preserve">Yerli üretimin durumunu etkileyebilecek diğer faktörlerin incelenmesiyle, tüketimde yaşanan </w:t>
      </w:r>
      <w:r w:rsidR="005E390C" w:rsidRPr="00616B34">
        <w:t>artışın, ma</w:t>
      </w:r>
      <w:r w:rsidR="00AA7D40" w:rsidRPr="00616B34">
        <w:t>l</w:t>
      </w:r>
      <w:r w:rsidR="005E390C" w:rsidRPr="00616B34">
        <w:t xml:space="preserve">iyetlerin ya da kapasitenin ciddi zarar üzerinde etkisi olmadığı, </w:t>
      </w:r>
      <w:r w:rsidRPr="00616B34">
        <w:t xml:space="preserve"> </w:t>
      </w:r>
      <w:r w:rsidR="005E390C" w:rsidRPr="00616B34">
        <w:t>ihracatta 2013 yılında yaşanan gerilemenin ise zarar üzerinde oldukça</w:t>
      </w:r>
      <w:r w:rsidRPr="00616B34">
        <w:t xml:space="preserve"> kısı</w:t>
      </w:r>
      <w:r w:rsidR="005E390C" w:rsidRPr="00616B34">
        <w:t>tlı düzeyde bir etkisinin olabileceği</w:t>
      </w:r>
      <w:r w:rsidRPr="00616B34">
        <w:t xml:space="preserve"> tespit edilmiştir.</w:t>
      </w:r>
      <w:r w:rsidRPr="005E390C">
        <w:t xml:space="preserve"> Bu çerçevede, ithalat artışı ile ciddi zarar arasında esaslı bir nedensellik bağının bulunduğu sonucuna varılmıştır. </w:t>
      </w:r>
    </w:p>
    <w:p w:rsidR="005E390C" w:rsidRPr="005E390C" w:rsidRDefault="005E390C" w:rsidP="00F43206">
      <w:pPr>
        <w:ind w:firstLine="708"/>
        <w:jc w:val="both"/>
      </w:pPr>
    </w:p>
    <w:p w:rsidR="00642617" w:rsidRDefault="004328B1" w:rsidP="00642617">
      <w:pPr>
        <w:ind w:firstLine="708"/>
        <w:jc w:val="both"/>
      </w:pPr>
      <w:r w:rsidRPr="0080566E">
        <w:t>Sonuç itibariyle, soruşturma konusu ürünün ithalatına karşı korunma önlemi uygul</w:t>
      </w:r>
      <w:r w:rsidR="00FB7005">
        <w:t>anması için a</w:t>
      </w:r>
      <w:r w:rsidRPr="0080566E">
        <w:t xml:space="preserve">nlaşma ve </w:t>
      </w:r>
      <w:r w:rsidR="00FB7005">
        <w:t>m</w:t>
      </w:r>
      <w:r w:rsidRPr="0080566E">
        <w:t xml:space="preserve">evzuat kapsamında gerekli şartların </w:t>
      </w:r>
      <w:r w:rsidR="00642617">
        <w:t xml:space="preserve">oluştuğu değerlendirilmektedir. </w:t>
      </w:r>
      <w:r w:rsidR="00642617" w:rsidRPr="0080566E">
        <w:t>Bu çerçevede, soruşturm</w:t>
      </w:r>
      <w:bookmarkStart w:id="156" w:name="_GoBack"/>
      <w:bookmarkEnd w:id="156"/>
      <w:r w:rsidR="00642617" w:rsidRPr="0080566E">
        <w:t xml:space="preserve">a konusu ürün ithalatında 2 yıl süreyle ek mali yükümlülük şeklinde korunma önlemi uygulanmasının, ek mali yükümlülüğün aşağıdaki </w:t>
      </w:r>
      <w:r w:rsidR="00642617" w:rsidRPr="0080566E">
        <w:lastRenderedPageBreak/>
        <w:t xml:space="preserve">tabloda gösterildiği şekilde, CIF </w:t>
      </w:r>
      <w:r w:rsidR="00642617">
        <w:t>kıymetin</w:t>
      </w:r>
      <w:r w:rsidR="00642617" w:rsidRPr="0080566E">
        <w:t xml:space="preserve"> yüzdesi olarak ek mali yükümlülük şeklinde belirlenmesinin </w:t>
      </w:r>
      <w:r w:rsidR="00642617">
        <w:t>uygun</w:t>
      </w:r>
      <w:r w:rsidR="00642617" w:rsidRPr="0080566E">
        <w:t xml:space="preserve"> olacağı düşünülmektedir.</w:t>
      </w:r>
    </w:p>
    <w:p w:rsidR="00642617" w:rsidRPr="00125018" w:rsidRDefault="00642617" w:rsidP="00642617">
      <w:pPr>
        <w:ind w:firstLine="708"/>
        <w:jc w:val="both"/>
      </w:pPr>
    </w:p>
    <w:tbl>
      <w:tblPr>
        <w:tblW w:w="5000" w:type="pct"/>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2726"/>
        <w:gridCol w:w="2251"/>
        <w:gridCol w:w="2203"/>
        <w:gridCol w:w="2108"/>
      </w:tblGrid>
      <w:tr w:rsidR="00642617" w:rsidRPr="00125018" w:rsidTr="00642617">
        <w:trPr>
          <w:cantSplit/>
          <w:trHeight w:val="454"/>
          <w:tblHeader/>
          <w:jc w:val="center"/>
        </w:trPr>
        <w:tc>
          <w:tcPr>
            <w:tcW w:w="1467" w:type="pct"/>
            <w:vMerge w:val="restart"/>
            <w:vAlign w:val="center"/>
          </w:tcPr>
          <w:p w:rsidR="00642617" w:rsidRPr="004D55AE" w:rsidRDefault="00642617" w:rsidP="00F35C80">
            <w:pPr>
              <w:jc w:val="center"/>
            </w:pPr>
            <w:proofErr w:type="spellStart"/>
            <w:r w:rsidRPr="004D55AE">
              <w:t>GTİP</w:t>
            </w:r>
            <w:proofErr w:type="spellEnd"/>
          </w:p>
        </w:tc>
        <w:tc>
          <w:tcPr>
            <w:tcW w:w="1212" w:type="pct"/>
            <w:vMerge w:val="restart"/>
            <w:vAlign w:val="center"/>
          </w:tcPr>
          <w:p w:rsidR="00642617" w:rsidRPr="004D55AE" w:rsidRDefault="00642617" w:rsidP="00F35C80">
            <w:pPr>
              <w:jc w:val="center"/>
            </w:pPr>
            <w:r w:rsidRPr="004D55AE">
              <w:t>Eşya Tanımı</w:t>
            </w:r>
          </w:p>
        </w:tc>
        <w:tc>
          <w:tcPr>
            <w:tcW w:w="2321" w:type="pct"/>
            <w:gridSpan w:val="2"/>
            <w:vAlign w:val="center"/>
          </w:tcPr>
          <w:p w:rsidR="00642617" w:rsidRPr="004D55AE" w:rsidRDefault="00642617" w:rsidP="00F35C80">
            <w:pPr>
              <w:jc w:val="center"/>
            </w:pPr>
            <w:r w:rsidRPr="004D55AE">
              <w:t>Ek Mali Yükümlülük (%)</w:t>
            </w:r>
          </w:p>
        </w:tc>
      </w:tr>
      <w:tr w:rsidR="00642617" w:rsidRPr="00125018" w:rsidTr="00F35C80">
        <w:trPr>
          <w:cantSplit/>
          <w:trHeight w:val="454"/>
          <w:tblHeader/>
          <w:jc w:val="center"/>
        </w:trPr>
        <w:tc>
          <w:tcPr>
            <w:tcW w:w="1467" w:type="pct"/>
            <w:vMerge/>
            <w:vAlign w:val="center"/>
          </w:tcPr>
          <w:p w:rsidR="00642617" w:rsidRPr="004D55AE" w:rsidRDefault="00642617" w:rsidP="00F35C80">
            <w:pPr>
              <w:jc w:val="both"/>
            </w:pPr>
          </w:p>
        </w:tc>
        <w:tc>
          <w:tcPr>
            <w:tcW w:w="1212" w:type="pct"/>
            <w:vMerge/>
            <w:vAlign w:val="center"/>
          </w:tcPr>
          <w:p w:rsidR="00642617" w:rsidRPr="004D55AE" w:rsidRDefault="00642617" w:rsidP="00F35C80">
            <w:pPr>
              <w:jc w:val="both"/>
            </w:pPr>
          </w:p>
        </w:tc>
        <w:tc>
          <w:tcPr>
            <w:tcW w:w="1186" w:type="pct"/>
            <w:vAlign w:val="center"/>
          </w:tcPr>
          <w:p w:rsidR="00642617" w:rsidRPr="004D55AE" w:rsidRDefault="00642617" w:rsidP="00F35C80">
            <w:pPr>
              <w:jc w:val="center"/>
              <w:rPr>
                <w:caps/>
              </w:rPr>
            </w:pPr>
            <w:r w:rsidRPr="004D55AE">
              <w:t>1 inci Dönem</w:t>
            </w:r>
          </w:p>
        </w:tc>
        <w:tc>
          <w:tcPr>
            <w:tcW w:w="1135" w:type="pct"/>
            <w:vAlign w:val="center"/>
          </w:tcPr>
          <w:p w:rsidR="00642617" w:rsidRPr="004D55AE" w:rsidRDefault="00642617" w:rsidP="00F35C80">
            <w:pPr>
              <w:jc w:val="center"/>
            </w:pPr>
            <w:r w:rsidRPr="004D55AE">
              <w:t xml:space="preserve">2 </w:t>
            </w:r>
            <w:proofErr w:type="spellStart"/>
            <w:r w:rsidRPr="004D55AE">
              <w:t>nci</w:t>
            </w:r>
            <w:proofErr w:type="spellEnd"/>
            <w:r w:rsidRPr="004D55AE">
              <w:t xml:space="preserve"> Dönem</w:t>
            </w:r>
          </w:p>
        </w:tc>
      </w:tr>
      <w:tr w:rsidR="00642617" w:rsidRPr="00125018" w:rsidTr="00F35C80">
        <w:trPr>
          <w:cantSplit/>
          <w:trHeight w:val="454"/>
          <w:tblHeader/>
          <w:jc w:val="center"/>
        </w:trPr>
        <w:tc>
          <w:tcPr>
            <w:tcW w:w="1467" w:type="pct"/>
            <w:vAlign w:val="center"/>
          </w:tcPr>
          <w:p w:rsidR="00642617" w:rsidRPr="004D55AE" w:rsidRDefault="00642617" w:rsidP="00F35C80">
            <w:pPr>
              <w:jc w:val="center"/>
            </w:pPr>
            <w:r w:rsidRPr="004D55AE">
              <w:t>2917.36.00.00.11</w:t>
            </w:r>
          </w:p>
        </w:tc>
        <w:tc>
          <w:tcPr>
            <w:tcW w:w="1212" w:type="pct"/>
            <w:vAlign w:val="center"/>
          </w:tcPr>
          <w:p w:rsidR="00642617" w:rsidRPr="004D55AE" w:rsidRDefault="00642617" w:rsidP="00F35C80">
            <w:pPr>
              <w:jc w:val="center"/>
            </w:pPr>
            <w:r w:rsidRPr="004D55AE">
              <w:t>Tereftalik asit</w:t>
            </w:r>
          </w:p>
        </w:tc>
        <w:tc>
          <w:tcPr>
            <w:tcW w:w="1186" w:type="pct"/>
            <w:vAlign w:val="center"/>
          </w:tcPr>
          <w:p w:rsidR="00642617" w:rsidRPr="004D55AE" w:rsidRDefault="00642617" w:rsidP="00F35C80">
            <w:pPr>
              <w:jc w:val="center"/>
              <w:rPr>
                <w:caps/>
              </w:rPr>
            </w:pPr>
            <w:r w:rsidRPr="004D55AE">
              <w:rPr>
                <w:caps/>
              </w:rPr>
              <w:t>4,00</w:t>
            </w:r>
          </w:p>
        </w:tc>
        <w:tc>
          <w:tcPr>
            <w:tcW w:w="1135" w:type="pct"/>
            <w:vAlign w:val="center"/>
          </w:tcPr>
          <w:p w:rsidR="00642617" w:rsidRPr="004D55AE" w:rsidRDefault="00642617" w:rsidP="00F35C80">
            <w:pPr>
              <w:jc w:val="center"/>
            </w:pPr>
            <w:r w:rsidRPr="004D55AE">
              <w:t>3,75</w:t>
            </w:r>
          </w:p>
        </w:tc>
      </w:tr>
    </w:tbl>
    <w:p w:rsidR="005F150E" w:rsidRDefault="005F150E" w:rsidP="005F150E">
      <w:pPr>
        <w:jc w:val="both"/>
        <w:rPr>
          <w:snapToGrid w:val="0"/>
        </w:rPr>
      </w:pPr>
      <w:r w:rsidRPr="00125018">
        <w:rPr>
          <w:snapToGrid w:val="0"/>
        </w:rPr>
        <w:t xml:space="preserve">* </w:t>
      </w:r>
      <w:r w:rsidRPr="00677324">
        <w:rPr>
          <w:snapToGrid w:val="0"/>
          <w:sz w:val="20"/>
          <w:szCs w:val="20"/>
        </w:rPr>
        <w:t>Korunma önleminin uygulanacağı her bir dönem, Resmi Gazete’de yayımlanacak İthalatta Korunma Önlemi Uygulanmasına İlişkin Bakanlar Kurulu Kararının yürürlüğe giriş tarihinden itibaren başlamak üzere birbirini takip eden birer yıllık süreleri ifade eder.</w:t>
      </w:r>
    </w:p>
    <w:p w:rsidR="00352446" w:rsidRDefault="00352446" w:rsidP="00125018">
      <w:pPr>
        <w:jc w:val="both"/>
        <w:rPr>
          <w:lang w:eastAsia="en-US"/>
        </w:rPr>
      </w:pPr>
    </w:p>
    <w:p w:rsidR="00352446" w:rsidRDefault="00352446" w:rsidP="00352446">
      <w:pPr>
        <w:ind w:firstLine="708"/>
        <w:jc w:val="both"/>
        <w:rPr>
          <w:lang w:eastAsia="en-US"/>
        </w:rPr>
      </w:pPr>
      <w:r>
        <w:rPr>
          <w:lang w:eastAsia="en-US"/>
        </w:rPr>
        <w:t xml:space="preserve">Diğer taraftan, ithalatçıların </w:t>
      </w:r>
      <w:r w:rsidR="00642617">
        <w:rPr>
          <w:lang w:eastAsia="en-US"/>
        </w:rPr>
        <w:t xml:space="preserve">belirli bir miktarda önlemden muaf ithalat yapabilmelerini teminen, </w:t>
      </w:r>
      <w:r>
        <w:t>önlem süresince yürürlükte olacak şekilde</w:t>
      </w:r>
      <w:r>
        <w:rPr>
          <w:lang w:eastAsia="en-US"/>
        </w:rPr>
        <w:t xml:space="preserve"> tarife kontenjanı açılması planlanmaktadır. Korunma önleminden muaf olacak tarife kontenjanı miktarı </w:t>
      </w:r>
      <w:r w:rsidR="00642617">
        <w:rPr>
          <w:lang w:eastAsia="en-US"/>
        </w:rPr>
        <w:t xml:space="preserve">daha sonra </w:t>
      </w:r>
      <w:r>
        <w:rPr>
          <w:lang w:eastAsia="en-US"/>
        </w:rPr>
        <w:t xml:space="preserve">hesaplanarak </w:t>
      </w:r>
      <w:r w:rsidR="005F150E">
        <w:rPr>
          <w:lang w:eastAsia="en-US"/>
        </w:rPr>
        <w:t xml:space="preserve">korunma önlemine ilişkin Bakanlar Kurulu Kararı ile birlikte </w:t>
      </w:r>
      <w:r>
        <w:rPr>
          <w:lang w:eastAsia="en-US"/>
        </w:rPr>
        <w:t>ilan edile</w:t>
      </w:r>
      <w:r w:rsidR="005F150E">
        <w:rPr>
          <w:lang w:eastAsia="en-US"/>
        </w:rPr>
        <w:t>bile</w:t>
      </w:r>
      <w:r>
        <w:rPr>
          <w:lang w:eastAsia="en-US"/>
        </w:rPr>
        <w:t>cektir.</w:t>
      </w:r>
    </w:p>
    <w:p w:rsidR="00352446" w:rsidRPr="00125018" w:rsidRDefault="00352446" w:rsidP="00352446">
      <w:pPr>
        <w:ind w:firstLine="708"/>
        <w:jc w:val="both"/>
        <w:rPr>
          <w:lang w:eastAsia="en-US"/>
        </w:rPr>
        <w:sectPr w:rsidR="00352446" w:rsidRPr="00125018" w:rsidSect="007D0117">
          <w:footerReference w:type="default" r:id="rId11"/>
          <w:pgSz w:w="11906" w:h="16838" w:code="9"/>
          <w:pgMar w:top="1417" w:right="1417" w:bottom="1417" w:left="1417" w:header="567" w:footer="709" w:gutter="0"/>
          <w:pgNumType w:start="1"/>
          <w:cols w:space="708"/>
          <w:docGrid w:linePitch="360"/>
        </w:sectPr>
      </w:pPr>
      <w:r>
        <w:rPr>
          <w:lang w:eastAsia="en-US"/>
        </w:rPr>
        <w:t xml:space="preserve"> </w:t>
      </w:r>
    </w:p>
    <w:p w:rsidR="00F43206" w:rsidRPr="00C664C9" w:rsidRDefault="00683A4C" w:rsidP="00437A5B">
      <w:pPr>
        <w:pStyle w:val="Balk1"/>
        <w:spacing w:before="120" w:after="120"/>
        <w:jc w:val="left"/>
      </w:pPr>
      <w:bookmarkStart w:id="157" w:name="_Toc384116999"/>
      <w:r>
        <w:lastRenderedPageBreak/>
        <w:t>Ek:</w:t>
      </w:r>
      <w:r w:rsidR="00E204DE" w:rsidRPr="00F43206">
        <w:t xml:space="preserve"> Ülkeler İtibariyle İthalat İstatistikleri</w:t>
      </w:r>
      <w:bookmarkEnd w:id="157"/>
    </w:p>
    <w:tbl>
      <w:tblPr>
        <w:tblStyle w:val="TabloKlavuzu"/>
        <w:tblW w:w="5000" w:type="pct"/>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210"/>
        <w:gridCol w:w="1347"/>
        <w:gridCol w:w="1187"/>
        <w:gridCol w:w="1187"/>
        <w:gridCol w:w="1187"/>
        <w:gridCol w:w="1187"/>
        <w:gridCol w:w="1187"/>
        <w:gridCol w:w="1187"/>
        <w:gridCol w:w="1187"/>
        <w:gridCol w:w="1187"/>
        <w:gridCol w:w="1187"/>
        <w:gridCol w:w="1187"/>
        <w:gridCol w:w="1187"/>
      </w:tblGrid>
      <w:tr w:rsidR="00BE4578" w:rsidRPr="008F791A" w:rsidTr="00683A4C">
        <w:trPr>
          <w:trHeight w:val="301"/>
        </w:trPr>
        <w:tc>
          <w:tcPr>
            <w:tcW w:w="387" w:type="pct"/>
            <w:hideMark/>
          </w:tcPr>
          <w:p w:rsidR="00BE4578" w:rsidRPr="00BE4578" w:rsidRDefault="00BE4578" w:rsidP="00C700C8">
            <w:pPr>
              <w:rPr>
                <w:b/>
                <w:sz w:val="18"/>
                <w:szCs w:val="18"/>
              </w:rPr>
            </w:pPr>
            <w:r w:rsidRPr="00BE4578">
              <w:rPr>
                <w:b/>
                <w:sz w:val="18"/>
                <w:szCs w:val="18"/>
              </w:rPr>
              <w:t> </w:t>
            </w:r>
          </w:p>
        </w:tc>
        <w:tc>
          <w:tcPr>
            <w:tcW w:w="811" w:type="pct"/>
            <w:gridSpan w:val="2"/>
            <w:vAlign w:val="center"/>
            <w:hideMark/>
          </w:tcPr>
          <w:p w:rsidR="00BE4578" w:rsidRPr="00BE4578" w:rsidRDefault="00BE4578" w:rsidP="00683A4C">
            <w:pPr>
              <w:jc w:val="center"/>
              <w:rPr>
                <w:b/>
                <w:sz w:val="18"/>
                <w:szCs w:val="18"/>
              </w:rPr>
            </w:pPr>
            <w:r w:rsidRPr="00BE4578">
              <w:rPr>
                <w:b/>
                <w:sz w:val="18"/>
                <w:szCs w:val="18"/>
              </w:rPr>
              <w:t>2008</w:t>
            </w:r>
          </w:p>
        </w:tc>
        <w:tc>
          <w:tcPr>
            <w:tcW w:w="760" w:type="pct"/>
            <w:gridSpan w:val="2"/>
            <w:vAlign w:val="center"/>
            <w:hideMark/>
          </w:tcPr>
          <w:p w:rsidR="00BE4578" w:rsidRPr="00BE4578" w:rsidRDefault="00BE4578" w:rsidP="00683A4C">
            <w:pPr>
              <w:jc w:val="center"/>
              <w:rPr>
                <w:b/>
                <w:sz w:val="18"/>
                <w:szCs w:val="18"/>
              </w:rPr>
            </w:pPr>
            <w:r w:rsidRPr="00BE4578">
              <w:rPr>
                <w:b/>
                <w:sz w:val="18"/>
                <w:szCs w:val="18"/>
              </w:rPr>
              <w:t>2009</w:t>
            </w:r>
          </w:p>
        </w:tc>
        <w:tc>
          <w:tcPr>
            <w:tcW w:w="760" w:type="pct"/>
            <w:gridSpan w:val="2"/>
            <w:vAlign w:val="center"/>
            <w:hideMark/>
          </w:tcPr>
          <w:p w:rsidR="00BE4578" w:rsidRPr="00BE4578" w:rsidRDefault="00BE4578" w:rsidP="00683A4C">
            <w:pPr>
              <w:jc w:val="center"/>
              <w:rPr>
                <w:b/>
                <w:sz w:val="18"/>
                <w:szCs w:val="18"/>
              </w:rPr>
            </w:pPr>
            <w:r w:rsidRPr="00BE4578">
              <w:rPr>
                <w:b/>
                <w:sz w:val="18"/>
                <w:szCs w:val="18"/>
              </w:rPr>
              <w:t>2010</w:t>
            </w:r>
          </w:p>
        </w:tc>
        <w:tc>
          <w:tcPr>
            <w:tcW w:w="760" w:type="pct"/>
            <w:gridSpan w:val="2"/>
            <w:vAlign w:val="center"/>
            <w:hideMark/>
          </w:tcPr>
          <w:p w:rsidR="00BE4578" w:rsidRPr="00BE4578" w:rsidRDefault="00BE4578" w:rsidP="00683A4C">
            <w:pPr>
              <w:jc w:val="center"/>
              <w:rPr>
                <w:b/>
                <w:sz w:val="18"/>
                <w:szCs w:val="18"/>
              </w:rPr>
            </w:pPr>
            <w:r w:rsidRPr="00BE4578">
              <w:rPr>
                <w:b/>
                <w:sz w:val="18"/>
                <w:szCs w:val="18"/>
              </w:rPr>
              <w:t>2011</w:t>
            </w:r>
          </w:p>
        </w:tc>
        <w:tc>
          <w:tcPr>
            <w:tcW w:w="760" w:type="pct"/>
            <w:gridSpan w:val="2"/>
            <w:vAlign w:val="center"/>
            <w:hideMark/>
          </w:tcPr>
          <w:p w:rsidR="00BE4578" w:rsidRPr="00BE4578" w:rsidRDefault="00BE4578" w:rsidP="00683A4C">
            <w:pPr>
              <w:jc w:val="center"/>
              <w:rPr>
                <w:b/>
                <w:sz w:val="18"/>
                <w:szCs w:val="18"/>
              </w:rPr>
            </w:pPr>
            <w:r w:rsidRPr="00BE4578">
              <w:rPr>
                <w:b/>
                <w:sz w:val="18"/>
                <w:szCs w:val="18"/>
              </w:rPr>
              <w:t>2012</w:t>
            </w:r>
          </w:p>
        </w:tc>
        <w:tc>
          <w:tcPr>
            <w:tcW w:w="760" w:type="pct"/>
            <w:gridSpan w:val="2"/>
            <w:vAlign w:val="center"/>
            <w:hideMark/>
          </w:tcPr>
          <w:p w:rsidR="00BE4578" w:rsidRPr="00BE4578" w:rsidRDefault="00BE4578" w:rsidP="00683A4C">
            <w:pPr>
              <w:jc w:val="center"/>
              <w:rPr>
                <w:b/>
                <w:sz w:val="18"/>
                <w:szCs w:val="18"/>
              </w:rPr>
            </w:pPr>
            <w:r w:rsidRPr="00BE4578">
              <w:rPr>
                <w:b/>
                <w:sz w:val="18"/>
                <w:szCs w:val="18"/>
              </w:rPr>
              <w:t>2013</w:t>
            </w:r>
          </w:p>
        </w:tc>
      </w:tr>
      <w:tr w:rsidR="00BE4578" w:rsidRPr="008F791A" w:rsidTr="007F3400">
        <w:trPr>
          <w:trHeight w:val="301"/>
        </w:trPr>
        <w:tc>
          <w:tcPr>
            <w:tcW w:w="387" w:type="pct"/>
            <w:vAlign w:val="center"/>
            <w:hideMark/>
          </w:tcPr>
          <w:p w:rsidR="00BE4578" w:rsidRPr="00BE4578" w:rsidRDefault="00BE4578" w:rsidP="007F3400">
            <w:pPr>
              <w:rPr>
                <w:b/>
                <w:sz w:val="18"/>
                <w:szCs w:val="18"/>
              </w:rPr>
            </w:pPr>
            <w:r w:rsidRPr="00BE4578">
              <w:rPr>
                <w:b/>
                <w:sz w:val="18"/>
                <w:szCs w:val="18"/>
              </w:rPr>
              <w:t>Ülke Adı</w:t>
            </w:r>
          </w:p>
        </w:tc>
        <w:tc>
          <w:tcPr>
            <w:tcW w:w="431" w:type="pct"/>
            <w:noWrap/>
            <w:vAlign w:val="center"/>
            <w:hideMark/>
          </w:tcPr>
          <w:p w:rsidR="00BE4578" w:rsidRPr="00BE4578" w:rsidRDefault="00BE4578" w:rsidP="007F3400">
            <w:pPr>
              <w:jc w:val="center"/>
              <w:rPr>
                <w:b/>
                <w:sz w:val="18"/>
                <w:szCs w:val="18"/>
              </w:rPr>
            </w:pPr>
            <w:r w:rsidRPr="00BE4578">
              <w:rPr>
                <w:b/>
                <w:sz w:val="18"/>
                <w:szCs w:val="18"/>
              </w:rPr>
              <w:t>Miktar</w:t>
            </w:r>
          </w:p>
        </w:tc>
        <w:tc>
          <w:tcPr>
            <w:tcW w:w="380" w:type="pct"/>
            <w:noWrap/>
            <w:vAlign w:val="center"/>
            <w:hideMark/>
          </w:tcPr>
          <w:p w:rsidR="00BE4578" w:rsidRPr="00BE4578" w:rsidRDefault="00BE4578" w:rsidP="007F3400">
            <w:pPr>
              <w:jc w:val="center"/>
              <w:rPr>
                <w:b/>
                <w:sz w:val="18"/>
                <w:szCs w:val="18"/>
              </w:rPr>
            </w:pPr>
            <w:r w:rsidRPr="00BE4578">
              <w:rPr>
                <w:b/>
                <w:sz w:val="18"/>
                <w:szCs w:val="18"/>
              </w:rPr>
              <w:t>Değer</w:t>
            </w:r>
          </w:p>
        </w:tc>
        <w:tc>
          <w:tcPr>
            <w:tcW w:w="380" w:type="pct"/>
            <w:noWrap/>
            <w:vAlign w:val="center"/>
            <w:hideMark/>
          </w:tcPr>
          <w:p w:rsidR="00BE4578" w:rsidRPr="00BE4578" w:rsidRDefault="00BE4578" w:rsidP="007F3400">
            <w:pPr>
              <w:jc w:val="center"/>
              <w:rPr>
                <w:b/>
                <w:sz w:val="18"/>
                <w:szCs w:val="18"/>
              </w:rPr>
            </w:pPr>
            <w:r w:rsidRPr="00BE4578">
              <w:rPr>
                <w:b/>
                <w:sz w:val="18"/>
                <w:szCs w:val="18"/>
              </w:rPr>
              <w:t>Miktar</w:t>
            </w:r>
          </w:p>
        </w:tc>
        <w:tc>
          <w:tcPr>
            <w:tcW w:w="380" w:type="pct"/>
            <w:noWrap/>
            <w:vAlign w:val="center"/>
            <w:hideMark/>
          </w:tcPr>
          <w:p w:rsidR="00BE4578" w:rsidRPr="00BE4578" w:rsidRDefault="00BE4578" w:rsidP="007F3400">
            <w:pPr>
              <w:jc w:val="center"/>
              <w:rPr>
                <w:b/>
                <w:sz w:val="18"/>
                <w:szCs w:val="18"/>
              </w:rPr>
            </w:pPr>
            <w:r w:rsidRPr="00BE4578">
              <w:rPr>
                <w:b/>
                <w:sz w:val="18"/>
                <w:szCs w:val="18"/>
              </w:rPr>
              <w:t>Değer</w:t>
            </w:r>
          </w:p>
        </w:tc>
        <w:tc>
          <w:tcPr>
            <w:tcW w:w="380" w:type="pct"/>
            <w:noWrap/>
            <w:vAlign w:val="center"/>
            <w:hideMark/>
          </w:tcPr>
          <w:p w:rsidR="00BE4578" w:rsidRPr="00BE4578" w:rsidRDefault="00BE4578" w:rsidP="007F3400">
            <w:pPr>
              <w:jc w:val="center"/>
              <w:rPr>
                <w:b/>
                <w:sz w:val="18"/>
                <w:szCs w:val="18"/>
              </w:rPr>
            </w:pPr>
            <w:r w:rsidRPr="00BE4578">
              <w:rPr>
                <w:b/>
                <w:sz w:val="18"/>
                <w:szCs w:val="18"/>
              </w:rPr>
              <w:t>Miktar</w:t>
            </w:r>
          </w:p>
        </w:tc>
        <w:tc>
          <w:tcPr>
            <w:tcW w:w="380" w:type="pct"/>
            <w:noWrap/>
            <w:vAlign w:val="center"/>
            <w:hideMark/>
          </w:tcPr>
          <w:p w:rsidR="00BE4578" w:rsidRPr="00BE4578" w:rsidRDefault="00BE4578" w:rsidP="007F3400">
            <w:pPr>
              <w:jc w:val="center"/>
              <w:rPr>
                <w:b/>
                <w:sz w:val="18"/>
                <w:szCs w:val="18"/>
              </w:rPr>
            </w:pPr>
            <w:r w:rsidRPr="00BE4578">
              <w:rPr>
                <w:b/>
                <w:sz w:val="18"/>
                <w:szCs w:val="18"/>
              </w:rPr>
              <w:t>Değer</w:t>
            </w:r>
          </w:p>
        </w:tc>
        <w:tc>
          <w:tcPr>
            <w:tcW w:w="380" w:type="pct"/>
            <w:noWrap/>
            <w:vAlign w:val="center"/>
            <w:hideMark/>
          </w:tcPr>
          <w:p w:rsidR="00BE4578" w:rsidRPr="00BE4578" w:rsidRDefault="00BE4578" w:rsidP="007F3400">
            <w:pPr>
              <w:jc w:val="center"/>
              <w:rPr>
                <w:b/>
                <w:sz w:val="18"/>
                <w:szCs w:val="18"/>
              </w:rPr>
            </w:pPr>
            <w:r w:rsidRPr="00BE4578">
              <w:rPr>
                <w:b/>
                <w:sz w:val="18"/>
                <w:szCs w:val="18"/>
              </w:rPr>
              <w:t>Miktar</w:t>
            </w:r>
          </w:p>
        </w:tc>
        <w:tc>
          <w:tcPr>
            <w:tcW w:w="380" w:type="pct"/>
            <w:noWrap/>
            <w:vAlign w:val="center"/>
            <w:hideMark/>
          </w:tcPr>
          <w:p w:rsidR="00BE4578" w:rsidRPr="00BE4578" w:rsidRDefault="00BE4578" w:rsidP="007F3400">
            <w:pPr>
              <w:jc w:val="center"/>
              <w:rPr>
                <w:b/>
                <w:sz w:val="18"/>
                <w:szCs w:val="18"/>
              </w:rPr>
            </w:pPr>
            <w:r w:rsidRPr="00BE4578">
              <w:rPr>
                <w:b/>
                <w:sz w:val="18"/>
                <w:szCs w:val="18"/>
              </w:rPr>
              <w:t>Değer</w:t>
            </w:r>
          </w:p>
        </w:tc>
        <w:tc>
          <w:tcPr>
            <w:tcW w:w="380" w:type="pct"/>
            <w:noWrap/>
            <w:vAlign w:val="center"/>
            <w:hideMark/>
          </w:tcPr>
          <w:p w:rsidR="00BE4578" w:rsidRPr="00BE4578" w:rsidRDefault="00BE4578" w:rsidP="007F3400">
            <w:pPr>
              <w:jc w:val="center"/>
              <w:rPr>
                <w:b/>
                <w:sz w:val="18"/>
                <w:szCs w:val="18"/>
              </w:rPr>
            </w:pPr>
            <w:r w:rsidRPr="00BE4578">
              <w:rPr>
                <w:b/>
                <w:sz w:val="18"/>
                <w:szCs w:val="18"/>
              </w:rPr>
              <w:t>Miktar</w:t>
            </w:r>
          </w:p>
        </w:tc>
        <w:tc>
          <w:tcPr>
            <w:tcW w:w="380" w:type="pct"/>
            <w:noWrap/>
            <w:vAlign w:val="center"/>
            <w:hideMark/>
          </w:tcPr>
          <w:p w:rsidR="00BE4578" w:rsidRPr="00BE4578" w:rsidRDefault="00BE4578" w:rsidP="007F3400">
            <w:pPr>
              <w:jc w:val="center"/>
              <w:rPr>
                <w:b/>
                <w:sz w:val="18"/>
                <w:szCs w:val="18"/>
              </w:rPr>
            </w:pPr>
            <w:r w:rsidRPr="00BE4578">
              <w:rPr>
                <w:b/>
                <w:sz w:val="18"/>
                <w:szCs w:val="18"/>
              </w:rPr>
              <w:t>Değer</w:t>
            </w:r>
          </w:p>
        </w:tc>
        <w:tc>
          <w:tcPr>
            <w:tcW w:w="380" w:type="pct"/>
            <w:noWrap/>
            <w:vAlign w:val="center"/>
            <w:hideMark/>
          </w:tcPr>
          <w:p w:rsidR="00BE4578" w:rsidRPr="00BE4578" w:rsidRDefault="00BE4578" w:rsidP="007F3400">
            <w:pPr>
              <w:jc w:val="center"/>
              <w:rPr>
                <w:b/>
                <w:sz w:val="18"/>
                <w:szCs w:val="18"/>
              </w:rPr>
            </w:pPr>
            <w:r w:rsidRPr="00BE4578">
              <w:rPr>
                <w:b/>
                <w:sz w:val="18"/>
                <w:szCs w:val="18"/>
              </w:rPr>
              <w:t>Miktar</w:t>
            </w:r>
          </w:p>
        </w:tc>
        <w:tc>
          <w:tcPr>
            <w:tcW w:w="380" w:type="pct"/>
            <w:noWrap/>
            <w:vAlign w:val="center"/>
            <w:hideMark/>
          </w:tcPr>
          <w:p w:rsidR="00BE4578" w:rsidRPr="00BE4578" w:rsidRDefault="00BE4578" w:rsidP="007F3400">
            <w:pPr>
              <w:jc w:val="center"/>
              <w:rPr>
                <w:b/>
                <w:sz w:val="18"/>
                <w:szCs w:val="18"/>
              </w:rPr>
            </w:pPr>
            <w:r w:rsidRPr="00BE4578">
              <w:rPr>
                <w:b/>
                <w:sz w:val="18"/>
                <w:szCs w:val="18"/>
              </w:rPr>
              <w:t>Değer</w:t>
            </w:r>
          </w:p>
        </w:tc>
      </w:tr>
      <w:tr w:rsidR="00BE4578" w:rsidRPr="008F791A" w:rsidTr="007F3400">
        <w:trPr>
          <w:trHeight w:val="301"/>
        </w:trPr>
        <w:tc>
          <w:tcPr>
            <w:tcW w:w="387" w:type="pct"/>
            <w:vAlign w:val="center"/>
            <w:hideMark/>
          </w:tcPr>
          <w:p w:rsidR="00BE4578" w:rsidRPr="00BE4578" w:rsidRDefault="00BE4578" w:rsidP="007F3400">
            <w:pPr>
              <w:rPr>
                <w:b/>
                <w:sz w:val="18"/>
                <w:szCs w:val="18"/>
              </w:rPr>
            </w:pPr>
            <w:r w:rsidRPr="00BE4578">
              <w:rPr>
                <w:b/>
                <w:sz w:val="18"/>
                <w:szCs w:val="18"/>
              </w:rPr>
              <w:t>İspanya</w:t>
            </w:r>
          </w:p>
        </w:tc>
        <w:tc>
          <w:tcPr>
            <w:tcW w:w="431" w:type="pct"/>
            <w:vAlign w:val="center"/>
            <w:hideMark/>
          </w:tcPr>
          <w:p w:rsidR="00BE4578" w:rsidRPr="00BE4578" w:rsidRDefault="00BE4578" w:rsidP="007F3400">
            <w:pPr>
              <w:jc w:val="right"/>
              <w:rPr>
                <w:sz w:val="18"/>
                <w:szCs w:val="18"/>
              </w:rPr>
            </w:pPr>
            <w:r w:rsidRPr="00BE4578">
              <w:rPr>
                <w:sz w:val="18"/>
                <w:szCs w:val="18"/>
              </w:rPr>
              <w:t>48.885.700</w:t>
            </w:r>
          </w:p>
        </w:tc>
        <w:tc>
          <w:tcPr>
            <w:tcW w:w="380" w:type="pct"/>
            <w:vAlign w:val="center"/>
            <w:hideMark/>
          </w:tcPr>
          <w:p w:rsidR="00BE4578" w:rsidRPr="00BE4578" w:rsidRDefault="00BE4578" w:rsidP="007F3400">
            <w:pPr>
              <w:jc w:val="right"/>
              <w:rPr>
                <w:sz w:val="18"/>
                <w:szCs w:val="18"/>
              </w:rPr>
            </w:pPr>
            <w:r w:rsidRPr="00BE4578">
              <w:rPr>
                <w:sz w:val="18"/>
                <w:szCs w:val="18"/>
              </w:rPr>
              <w:t>53.479.745</w:t>
            </w:r>
          </w:p>
        </w:tc>
        <w:tc>
          <w:tcPr>
            <w:tcW w:w="380" w:type="pct"/>
            <w:vAlign w:val="center"/>
            <w:hideMark/>
          </w:tcPr>
          <w:p w:rsidR="00BE4578" w:rsidRPr="00BE4578" w:rsidRDefault="00BE4578" w:rsidP="007F3400">
            <w:pPr>
              <w:jc w:val="right"/>
              <w:rPr>
                <w:sz w:val="18"/>
                <w:szCs w:val="18"/>
              </w:rPr>
            </w:pPr>
            <w:r w:rsidRPr="00BE4578">
              <w:rPr>
                <w:sz w:val="18"/>
                <w:szCs w:val="18"/>
              </w:rPr>
              <w:t>55.189.190</w:t>
            </w:r>
          </w:p>
        </w:tc>
        <w:tc>
          <w:tcPr>
            <w:tcW w:w="380" w:type="pct"/>
            <w:vAlign w:val="center"/>
            <w:hideMark/>
          </w:tcPr>
          <w:p w:rsidR="00BE4578" w:rsidRPr="00BE4578" w:rsidRDefault="00BE4578" w:rsidP="007F3400">
            <w:pPr>
              <w:jc w:val="right"/>
              <w:rPr>
                <w:sz w:val="18"/>
                <w:szCs w:val="18"/>
              </w:rPr>
            </w:pPr>
            <w:r w:rsidRPr="00BE4578">
              <w:rPr>
                <w:sz w:val="18"/>
                <w:szCs w:val="18"/>
              </w:rPr>
              <w:t>46.646.659</w:t>
            </w:r>
          </w:p>
        </w:tc>
        <w:tc>
          <w:tcPr>
            <w:tcW w:w="380" w:type="pct"/>
            <w:vAlign w:val="center"/>
            <w:hideMark/>
          </w:tcPr>
          <w:p w:rsidR="00BE4578" w:rsidRPr="00BE4578" w:rsidRDefault="00BE4578" w:rsidP="007F3400">
            <w:pPr>
              <w:jc w:val="right"/>
              <w:rPr>
                <w:sz w:val="18"/>
                <w:szCs w:val="18"/>
              </w:rPr>
            </w:pPr>
            <w:r w:rsidRPr="00BE4578">
              <w:rPr>
                <w:sz w:val="18"/>
                <w:szCs w:val="18"/>
              </w:rPr>
              <w:t>62.072.840</w:t>
            </w:r>
          </w:p>
        </w:tc>
        <w:tc>
          <w:tcPr>
            <w:tcW w:w="380" w:type="pct"/>
            <w:vAlign w:val="center"/>
            <w:hideMark/>
          </w:tcPr>
          <w:p w:rsidR="00BE4578" w:rsidRPr="00BE4578" w:rsidRDefault="00BE4578" w:rsidP="007F3400">
            <w:pPr>
              <w:jc w:val="right"/>
              <w:rPr>
                <w:sz w:val="18"/>
                <w:szCs w:val="18"/>
              </w:rPr>
            </w:pPr>
            <w:r w:rsidRPr="00BE4578">
              <w:rPr>
                <w:sz w:val="18"/>
                <w:szCs w:val="18"/>
              </w:rPr>
              <w:t>61.844.735</w:t>
            </w:r>
          </w:p>
        </w:tc>
        <w:tc>
          <w:tcPr>
            <w:tcW w:w="380" w:type="pct"/>
            <w:vAlign w:val="center"/>
            <w:hideMark/>
          </w:tcPr>
          <w:p w:rsidR="00BE4578" w:rsidRPr="00BE4578" w:rsidRDefault="00BE4578" w:rsidP="007F3400">
            <w:pPr>
              <w:jc w:val="right"/>
              <w:rPr>
                <w:sz w:val="18"/>
                <w:szCs w:val="18"/>
              </w:rPr>
            </w:pPr>
            <w:r w:rsidRPr="00BE4578">
              <w:rPr>
                <w:sz w:val="18"/>
                <w:szCs w:val="18"/>
              </w:rPr>
              <w:t>69.445.360</w:t>
            </w:r>
          </w:p>
        </w:tc>
        <w:tc>
          <w:tcPr>
            <w:tcW w:w="380" w:type="pct"/>
            <w:vAlign w:val="center"/>
            <w:hideMark/>
          </w:tcPr>
          <w:p w:rsidR="00BE4578" w:rsidRPr="00BE4578" w:rsidRDefault="00BE4578" w:rsidP="007F3400">
            <w:pPr>
              <w:jc w:val="right"/>
              <w:rPr>
                <w:sz w:val="18"/>
                <w:szCs w:val="18"/>
              </w:rPr>
            </w:pPr>
            <w:r w:rsidRPr="00BE4578">
              <w:rPr>
                <w:sz w:val="18"/>
                <w:szCs w:val="18"/>
              </w:rPr>
              <w:t>94.971.096</w:t>
            </w:r>
          </w:p>
        </w:tc>
        <w:tc>
          <w:tcPr>
            <w:tcW w:w="380" w:type="pct"/>
            <w:vAlign w:val="center"/>
            <w:hideMark/>
          </w:tcPr>
          <w:p w:rsidR="00BE4578" w:rsidRPr="00BE4578" w:rsidRDefault="00BE4578" w:rsidP="007F3400">
            <w:pPr>
              <w:jc w:val="right"/>
              <w:rPr>
                <w:sz w:val="18"/>
                <w:szCs w:val="18"/>
              </w:rPr>
            </w:pPr>
            <w:r w:rsidRPr="00BE4578">
              <w:rPr>
                <w:sz w:val="18"/>
                <w:szCs w:val="18"/>
              </w:rPr>
              <w:t>54.963.890</w:t>
            </w:r>
          </w:p>
        </w:tc>
        <w:tc>
          <w:tcPr>
            <w:tcW w:w="380" w:type="pct"/>
            <w:vAlign w:val="center"/>
            <w:hideMark/>
          </w:tcPr>
          <w:p w:rsidR="00BE4578" w:rsidRPr="00BE4578" w:rsidRDefault="00BE4578" w:rsidP="007F3400">
            <w:pPr>
              <w:jc w:val="right"/>
              <w:rPr>
                <w:sz w:val="18"/>
                <w:szCs w:val="18"/>
              </w:rPr>
            </w:pPr>
            <w:r w:rsidRPr="00BE4578">
              <w:rPr>
                <w:sz w:val="18"/>
                <w:szCs w:val="18"/>
              </w:rPr>
              <w:t>68.303.984</w:t>
            </w:r>
          </w:p>
        </w:tc>
        <w:tc>
          <w:tcPr>
            <w:tcW w:w="380" w:type="pct"/>
            <w:vAlign w:val="center"/>
            <w:hideMark/>
          </w:tcPr>
          <w:p w:rsidR="00BE4578" w:rsidRPr="00BE4578" w:rsidRDefault="00BE4578" w:rsidP="007F3400">
            <w:pPr>
              <w:jc w:val="right"/>
              <w:rPr>
                <w:sz w:val="18"/>
                <w:szCs w:val="18"/>
              </w:rPr>
            </w:pPr>
            <w:r w:rsidRPr="00BE4578">
              <w:rPr>
                <w:sz w:val="18"/>
                <w:szCs w:val="18"/>
              </w:rPr>
              <w:t>64.286.027</w:t>
            </w:r>
          </w:p>
        </w:tc>
        <w:tc>
          <w:tcPr>
            <w:tcW w:w="380" w:type="pct"/>
            <w:vAlign w:val="center"/>
            <w:hideMark/>
          </w:tcPr>
          <w:p w:rsidR="00BE4578" w:rsidRPr="00BE4578" w:rsidRDefault="00BE4578" w:rsidP="007F3400">
            <w:pPr>
              <w:jc w:val="right"/>
              <w:rPr>
                <w:sz w:val="18"/>
                <w:szCs w:val="18"/>
              </w:rPr>
            </w:pPr>
            <w:r w:rsidRPr="00BE4578">
              <w:rPr>
                <w:sz w:val="18"/>
                <w:szCs w:val="18"/>
              </w:rPr>
              <w:t>77.845.476</w:t>
            </w:r>
          </w:p>
        </w:tc>
      </w:tr>
      <w:tr w:rsidR="00BE4578" w:rsidRPr="008F791A" w:rsidTr="007F3400">
        <w:trPr>
          <w:trHeight w:val="301"/>
        </w:trPr>
        <w:tc>
          <w:tcPr>
            <w:tcW w:w="387" w:type="pct"/>
            <w:vAlign w:val="center"/>
            <w:hideMark/>
          </w:tcPr>
          <w:p w:rsidR="00BE4578" w:rsidRPr="00BE4578" w:rsidRDefault="00BE4578" w:rsidP="007F3400">
            <w:pPr>
              <w:rPr>
                <w:b/>
                <w:sz w:val="18"/>
                <w:szCs w:val="18"/>
              </w:rPr>
            </w:pPr>
            <w:r w:rsidRPr="00BE4578">
              <w:rPr>
                <w:b/>
                <w:sz w:val="18"/>
                <w:szCs w:val="18"/>
              </w:rPr>
              <w:t>Belçika</w:t>
            </w:r>
          </w:p>
        </w:tc>
        <w:tc>
          <w:tcPr>
            <w:tcW w:w="431" w:type="pct"/>
            <w:vAlign w:val="center"/>
            <w:hideMark/>
          </w:tcPr>
          <w:p w:rsidR="00BE4578" w:rsidRPr="00BE4578" w:rsidRDefault="00BE4578" w:rsidP="007F3400">
            <w:pPr>
              <w:jc w:val="right"/>
              <w:rPr>
                <w:sz w:val="18"/>
                <w:szCs w:val="18"/>
              </w:rPr>
            </w:pPr>
            <w:r w:rsidRPr="00BE4578">
              <w:rPr>
                <w:sz w:val="18"/>
                <w:szCs w:val="18"/>
              </w:rPr>
              <w:t>12.753.360</w:t>
            </w:r>
          </w:p>
        </w:tc>
        <w:tc>
          <w:tcPr>
            <w:tcW w:w="380" w:type="pct"/>
            <w:vAlign w:val="center"/>
            <w:hideMark/>
          </w:tcPr>
          <w:p w:rsidR="00BE4578" w:rsidRPr="00BE4578" w:rsidRDefault="00BE4578" w:rsidP="007F3400">
            <w:pPr>
              <w:jc w:val="right"/>
              <w:rPr>
                <w:sz w:val="18"/>
                <w:szCs w:val="18"/>
              </w:rPr>
            </w:pPr>
            <w:r w:rsidRPr="00BE4578">
              <w:rPr>
                <w:sz w:val="18"/>
                <w:szCs w:val="18"/>
              </w:rPr>
              <w:t>14.220.101</w:t>
            </w:r>
          </w:p>
        </w:tc>
        <w:tc>
          <w:tcPr>
            <w:tcW w:w="380" w:type="pct"/>
            <w:vAlign w:val="center"/>
            <w:hideMark/>
          </w:tcPr>
          <w:p w:rsidR="00BE4578" w:rsidRPr="00BE4578" w:rsidRDefault="00BE4578" w:rsidP="007F3400">
            <w:pPr>
              <w:jc w:val="right"/>
              <w:rPr>
                <w:sz w:val="18"/>
                <w:szCs w:val="18"/>
              </w:rPr>
            </w:pPr>
            <w:r w:rsidRPr="00BE4578">
              <w:rPr>
                <w:sz w:val="18"/>
                <w:szCs w:val="18"/>
              </w:rPr>
              <w:t>48.487.620</w:t>
            </w:r>
          </w:p>
        </w:tc>
        <w:tc>
          <w:tcPr>
            <w:tcW w:w="380" w:type="pct"/>
            <w:vAlign w:val="center"/>
            <w:hideMark/>
          </w:tcPr>
          <w:p w:rsidR="00BE4578" w:rsidRPr="00BE4578" w:rsidRDefault="00BE4578" w:rsidP="007F3400">
            <w:pPr>
              <w:jc w:val="right"/>
              <w:rPr>
                <w:sz w:val="18"/>
                <w:szCs w:val="18"/>
              </w:rPr>
            </w:pPr>
            <w:r w:rsidRPr="00BE4578">
              <w:rPr>
                <w:sz w:val="18"/>
                <w:szCs w:val="18"/>
              </w:rPr>
              <w:t>40.692.085</w:t>
            </w:r>
          </w:p>
        </w:tc>
        <w:tc>
          <w:tcPr>
            <w:tcW w:w="380" w:type="pct"/>
            <w:vAlign w:val="center"/>
            <w:hideMark/>
          </w:tcPr>
          <w:p w:rsidR="00BE4578" w:rsidRPr="00BE4578" w:rsidRDefault="00BE4578" w:rsidP="007F3400">
            <w:pPr>
              <w:jc w:val="right"/>
              <w:rPr>
                <w:sz w:val="18"/>
                <w:szCs w:val="18"/>
              </w:rPr>
            </w:pPr>
            <w:r w:rsidRPr="00BE4578">
              <w:rPr>
                <w:sz w:val="18"/>
                <w:szCs w:val="18"/>
              </w:rPr>
              <w:t>62.151.050</w:t>
            </w:r>
          </w:p>
        </w:tc>
        <w:tc>
          <w:tcPr>
            <w:tcW w:w="380" w:type="pct"/>
            <w:vAlign w:val="center"/>
            <w:hideMark/>
          </w:tcPr>
          <w:p w:rsidR="00BE4578" w:rsidRPr="00BE4578" w:rsidRDefault="00BE4578" w:rsidP="007F3400">
            <w:pPr>
              <w:jc w:val="right"/>
              <w:rPr>
                <w:sz w:val="18"/>
                <w:szCs w:val="18"/>
              </w:rPr>
            </w:pPr>
            <w:r w:rsidRPr="00BE4578">
              <w:rPr>
                <w:sz w:val="18"/>
                <w:szCs w:val="18"/>
              </w:rPr>
              <w:t>60.678.331</w:t>
            </w:r>
          </w:p>
        </w:tc>
        <w:tc>
          <w:tcPr>
            <w:tcW w:w="380" w:type="pct"/>
            <w:vAlign w:val="center"/>
            <w:hideMark/>
          </w:tcPr>
          <w:p w:rsidR="00BE4578" w:rsidRPr="00BE4578" w:rsidRDefault="00BE4578" w:rsidP="007F3400">
            <w:pPr>
              <w:jc w:val="right"/>
              <w:rPr>
                <w:sz w:val="18"/>
                <w:szCs w:val="18"/>
              </w:rPr>
            </w:pPr>
            <w:r w:rsidRPr="00BE4578">
              <w:rPr>
                <w:sz w:val="18"/>
                <w:szCs w:val="18"/>
              </w:rPr>
              <w:t>58.431.680</w:t>
            </w:r>
          </w:p>
        </w:tc>
        <w:tc>
          <w:tcPr>
            <w:tcW w:w="380" w:type="pct"/>
            <w:vAlign w:val="center"/>
            <w:hideMark/>
          </w:tcPr>
          <w:p w:rsidR="00BE4578" w:rsidRPr="00BE4578" w:rsidRDefault="00BE4578" w:rsidP="007F3400">
            <w:pPr>
              <w:jc w:val="right"/>
              <w:rPr>
                <w:sz w:val="18"/>
                <w:szCs w:val="18"/>
              </w:rPr>
            </w:pPr>
            <w:r w:rsidRPr="00BE4578">
              <w:rPr>
                <w:sz w:val="18"/>
                <w:szCs w:val="18"/>
              </w:rPr>
              <w:t>78.932.269</w:t>
            </w:r>
          </w:p>
        </w:tc>
        <w:tc>
          <w:tcPr>
            <w:tcW w:w="380" w:type="pct"/>
            <w:vAlign w:val="center"/>
            <w:hideMark/>
          </w:tcPr>
          <w:p w:rsidR="00BE4578" w:rsidRPr="00BE4578" w:rsidRDefault="00BE4578" w:rsidP="007F3400">
            <w:pPr>
              <w:jc w:val="right"/>
              <w:rPr>
                <w:sz w:val="18"/>
                <w:szCs w:val="18"/>
              </w:rPr>
            </w:pPr>
            <w:r w:rsidRPr="00BE4578">
              <w:rPr>
                <w:sz w:val="18"/>
                <w:szCs w:val="18"/>
              </w:rPr>
              <w:t>62.775.150</w:t>
            </w:r>
          </w:p>
        </w:tc>
        <w:tc>
          <w:tcPr>
            <w:tcW w:w="380" w:type="pct"/>
            <w:vAlign w:val="center"/>
            <w:hideMark/>
          </w:tcPr>
          <w:p w:rsidR="00BE4578" w:rsidRPr="00BE4578" w:rsidRDefault="00BE4578" w:rsidP="007F3400">
            <w:pPr>
              <w:jc w:val="right"/>
              <w:rPr>
                <w:sz w:val="18"/>
                <w:szCs w:val="18"/>
              </w:rPr>
            </w:pPr>
            <w:r w:rsidRPr="00BE4578">
              <w:rPr>
                <w:sz w:val="18"/>
                <w:szCs w:val="18"/>
              </w:rPr>
              <w:t>76.284.726</w:t>
            </w:r>
          </w:p>
        </w:tc>
        <w:tc>
          <w:tcPr>
            <w:tcW w:w="380" w:type="pct"/>
            <w:vAlign w:val="center"/>
            <w:hideMark/>
          </w:tcPr>
          <w:p w:rsidR="00BE4578" w:rsidRPr="00BE4578" w:rsidRDefault="00BE4578" w:rsidP="007F3400">
            <w:pPr>
              <w:jc w:val="right"/>
              <w:rPr>
                <w:sz w:val="18"/>
                <w:szCs w:val="18"/>
              </w:rPr>
            </w:pPr>
            <w:r w:rsidRPr="00BE4578">
              <w:rPr>
                <w:sz w:val="18"/>
                <w:szCs w:val="18"/>
              </w:rPr>
              <w:t>61.701.060</w:t>
            </w:r>
          </w:p>
        </w:tc>
        <w:tc>
          <w:tcPr>
            <w:tcW w:w="380" w:type="pct"/>
            <w:vAlign w:val="center"/>
            <w:hideMark/>
          </w:tcPr>
          <w:p w:rsidR="00BE4578" w:rsidRPr="00BE4578" w:rsidRDefault="00BE4578" w:rsidP="007F3400">
            <w:pPr>
              <w:jc w:val="right"/>
              <w:rPr>
                <w:sz w:val="18"/>
                <w:szCs w:val="18"/>
              </w:rPr>
            </w:pPr>
            <w:r w:rsidRPr="00BE4578">
              <w:rPr>
                <w:sz w:val="18"/>
                <w:szCs w:val="18"/>
              </w:rPr>
              <w:t>72.984.884</w:t>
            </w:r>
          </w:p>
        </w:tc>
      </w:tr>
      <w:tr w:rsidR="00BE4578" w:rsidRPr="008F791A" w:rsidTr="007F3400">
        <w:trPr>
          <w:trHeight w:val="301"/>
        </w:trPr>
        <w:tc>
          <w:tcPr>
            <w:tcW w:w="387" w:type="pct"/>
            <w:vAlign w:val="center"/>
            <w:hideMark/>
          </w:tcPr>
          <w:p w:rsidR="00BE4578" w:rsidRPr="00BE4578" w:rsidRDefault="00BE4578" w:rsidP="007F3400">
            <w:pPr>
              <w:rPr>
                <w:b/>
                <w:sz w:val="18"/>
                <w:szCs w:val="18"/>
              </w:rPr>
            </w:pPr>
            <w:r w:rsidRPr="00BE4578">
              <w:rPr>
                <w:b/>
                <w:sz w:val="18"/>
                <w:szCs w:val="18"/>
              </w:rPr>
              <w:t>G. Kore</w:t>
            </w:r>
          </w:p>
        </w:tc>
        <w:tc>
          <w:tcPr>
            <w:tcW w:w="431" w:type="pct"/>
            <w:vAlign w:val="center"/>
            <w:hideMark/>
          </w:tcPr>
          <w:p w:rsidR="00BE4578" w:rsidRPr="00BE4578" w:rsidRDefault="00BE4578" w:rsidP="007F3400">
            <w:pPr>
              <w:jc w:val="right"/>
              <w:rPr>
                <w:sz w:val="18"/>
                <w:szCs w:val="18"/>
              </w:rPr>
            </w:pPr>
            <w:r w:rsidRPr="00BE4578">
              <w:rPr>
                <w:sz w:val="18"/>
                <w:szCs w:val="18"/>
              </w:rPr>
              <w:t>5.456.000</w:t>
            </w:r>
          </w:p>
        </w:tc>
        <w:tc>
          <w:tcPr>
            <w:tcW w:w="380" w:type="pct"/>
            <w:vAlign w:val="center"/>
            <w:hideMark/>
          </w:tcPr>
          <w:p w:rsidR="00BE4578" w:rsidRPr="00BE4578" w:rsidRDefault="00BE4578" w:rsidP="007F3400">
            <w:pPr>
              <w:jc w:val="right"/>
              <w:rPr>
                <w:sz w:val="18"/>
                <w:szCs w:val="18"/>
              </w:rPr>
            </w:pPr>
            <w:r w:rsidRPr="00BE4578">
              <w:rPr>
                <w:sz w:val="18"/>
                <w:szCs w:val="18"/>
              </w:rPr>
              <w:t>5.912.051</w:t>
            </w:r>
          </w:p>
        </w:tc>
        <w:tc>
          <w:tcPr>
            <w:tcW w:w="380" w:type="pct"/>
            <w:vAlign w:val="center"/>
            <w:hideMark/>
          </w:tcPr>
          <w:p w:rsidR="00BE4578" w:rsidRPr="00BE4578" w:rsidRDefault="00BE4578" w:rsidP="007F3400">
            <w:pPr>
              <w:jc w:val="right"/>
              <w:rPr>
                <w:sz w:val="18"/>
                <w:szCs w:val="18"/>
              </w:rPr>
            </w:pPr>
            <w:r w:rsidRPr="00BE4578">
              <w:rPr>
                <w:sz w:val="18"/>
                <w:szCs w:val="18"/>
              </w:rPr>
              <w:t>13.890.000</w:t>
            </w:r>
          </w:p>
        </w:tc>
        <w:tc>
          <w:tcPr>
            <w:tcW w:w="380" w:type="pct"/>
            <w:vAlign w:val="center"/>
            <w:hideMark/>
          </w:tcPr>
          <w:p w:rsidR="00BE4578" w:rsidRPr="00BE4578" w:rsidRDefault="00BE4578" w:rsidP="007F3400">
            <w:pPr>
              <w:jc w:val="right"/>
              <w:rPr>
                <w:sz w:val="18"/>
                <w:szCs w:val="18"/>
              </w:rPr>
            </w:pPr>
            <w:r w:rsidRPr="00BE4578">
              <w:rPr>
                <w:sz w:val="18"/>
                <w:szCs w:val="18"/>
              </w:rPr>
              <w:t>12.273.212</w:t>
            </w:r>
          </w:p>
        </w:tc>
        <w:tc>
          <w:tcPr>
            <w:tcW w:w="380" w:type="pct"/>
            <w:vAlign w:val="center"/>
            <w:hideMark/>
          </w:tcPr>
          <w:p w:rsidR="00BE4578" w:rsidRPr="00BE4578" w:rsidRDefault="00BE4578" w:rsidP="007F3400">
            <w:pPr>
              <w:jc w:val="right"/>
              <w:rPr>
                <w:sz w:val="18"/>
                <w:szCs w:val="18"/>
              </w:rPr>
            </w:pPr>
            <w:r w:rsidRPr="00BE4578">
              <w:rPr>
                <w:sz w:val="18"/>
                <w:szCs w:val="18"/>
              </w:rPr>
              <w:t>5.285.000</w:t>
            </w:r>
          </w:p>
        </w:tc>
        <w:tc>
          <w:tcPr>
            <w:tcW w:w="380" w:type="pct"/>
            <w:vAlign w:val="center"/>
            <w:hideMark/>
          </w:tcPr>
          <w:p w:rsidR="00BE4578" w:rsidRPr="00BE4578" w:rsidRDefault="00BE4578" w:rsidP="007F3400">
            <w:pPr>
              <w:jc w:val="right"/>
              <w:rPr>
                <w:sz w:val="18"/>
                <w:szCs w:val="18"/>
              </w:rPr>
            </w:pPr>
            <w:r w:rsidRPr="00BE4578">
              <w:rPr>
                <w:sz w:val="18"/>
                <w:szCs w:val="18"/>
              </w:rPr>
              <w:t>5.314.566</w:t>
            </w:r>
          </w:p>
        </w:tc>
        <w:tc>
          <w:tcPr>
            <w:tcW w:w="380" w:type="pct"/>
            <w:vAlign w:val="center"/>
            <w:hideMark/>
          </w:tcPr>
          <w:p w:rsidR="00BE4578" w:rsidRPr="00BE4578" w:rsidRDefault="00BE4578" w:rsidP="007F3400">
            <w:pPr>
              <w:jc w:val="right"/>
              <w:rPr>
                <w:sz w:val="18"/>
                <w:szCs w:val="18"/>
              </w:rPr>
            </w:pPr>
            <w:r w:rsidRPr="00BE4578">
              <w:rPr>
                <w:sz w:val="18"/>
                <w:szCs w:val="18"/>
              </w:rPr>
              <w:t>6.096.000</w:t>
            </w:r>
          </w:p>
        </w:tc>
        <w:tc>
          <w:tcPr>
            <w:tcW w:w="380" w:type="pct"/>
            <w:vAlign w:val="center"/>
            <w:hideMark/>
          </w:tcPr>
          <w:p w:rsidR="00BE4578" w:rsidRPr="00BE4578" w:rsidRDefault="00BE4578" w:rsidP="007F3400">
            <w:pPr>
              <w:jc w:val="right"/>
              <w:rPr>
                <w:sz w:val="18"/>
                <w:szCs w:val="18"/>
              </w:rPr>
            </w:pPr>
            <w:r w:rsidRPr="00BE4578">
              <w:rPr>
                <w:sz w:val="18"/>
                <w:szCs w:val="18"/>
              </w:rPr>
              <w:t>9.211.440</w:t>
            </w:r>
          </w:p>
        </w:tc>
        <w:tc>
          <w:tcPr>
            <w:tcW w:w="380" w:type="pct"/>
            <w:vAlign w:val="center"/>
            <w:hideMark/>
          </w:tcPr>
          <w:p w:rsidR="00BE4578" w:rsidRPr="00BE4578" w:rsidRDefault="00BE4578" w:rsidP="007F3400">
            <w:pPr>
              <w:jc w:val="right"/>
              <w:rPr>
                <w:sz w:val="18"/>
                <w:szCs w:val="18"/>
              </w:rPr>
            </w:pPr>
            <w:r w:rsidRPr="00BE4578">
              <w:rPr>
                <w:sz w:val="18"/>
                <w:szCs w:val="18"/>
              </w:rPr>
              <w:t>3.236.002</w:t>
            </w:r>
          </w:p>
        </w:tc>
        <w:tc>
          <w:tcPr>
            <w:tcW w:w="380" w:type="pct"/>
            <w:vAlign w:val="center"/>
            <w:hideMark/>
          </w:tcPr>
          <w:p w:rsidR="00BE4578" w:rsidRPr="00BE4578" w:rsidRDefault="00BE4578" w:rsidP="007F3400">
            <w:pPr>
              <w:jc w:val="right"/>
              <w:rPr>
                <w:sz w:val="18"/>
                <w:szCs w:val="18"/>
              </w:rPr>
            </w:pPr>
            <w:r w:rsidRPr="00BE4578">
              <w:rPr>
                <w:sz w:val="18"/>
                <w:szCs w:val="18"/>
              </w:rPr>
              <w:t>4.124.017</w:t>
            </w:r>
          </w:p>
        </w:tc>
        <w:tc>
          <w:tcPr>
            <w:tcW w:w="380" w:type="pct"/>
            <w:vAlign w:val="center"/>
            <w:hideMark/>
          </w:tcPr>
          <w:p w:rsidR="00BE4578" w:rsidRPr="00BE4578" w:rsidRDefault="00BE4578" w:rsidP="007F3400">
            <w:pPr>
              <w:jc w:val="right"/>
              <w:rPr>
                <w:sz w:val="18"/>
                <w:szCs w:val="18"/>
              </w:rPr>
            </w:pPr>
            <w:r w:rsidRPr="00BE4578">
              <w:rPr>
                <w:sz w:val="18"/>
                <w:szCs w:val="18"/>
              </w:rPr>
              <w:t>54.310.414</w:t>
            </w:r>
          </w:p>
        </w:tc>
        <w:tc>
          <w:tcPr>
            <w:tcW w:w="380" w:type="pct"/>
            <w:vAlign w:val="center"/>
            <w:hideMark/>
          </w:tcPr>
          <w:p w:rsidR="00BE4578" w:rsidRPr="00BE4578" w:rsidRDefault="00BE4578" w:rsidP="007F3400">
            <w:pPr>
              <w:jc w:val="right"/>
              <w:rPr>
                <w:sz w:val="18"/>
                <w:szCs w:val="18"/>
              </w:rPr>
            </w:pPr>
            <w:r w:rsidRPr="00BE4578">
              <w:rPr>
                <w:sz w:val="18"/>
                <w:szCs w:val="18"/>
              </w:rPr>
              <w:t>60.165.504</w:t>
            </w:r>
          </w:p>
        </w:tc>
      </w:tr>
      <w:tr w:rsidR="00BE4578" w:rsidRPr="008F791A" w:rsidTr="007F3400">
        <w:trPr>
          <w:trHeight w:val="301"/>
        </w:trPr>
        <w:tc>
          <w:tcPr>
            <w:tcW w:w="387" w:type="pct"/>
            <w:vAlign w:val="center"/>
            <w:hideMark/>
          </w:tcPr>
          <w:p w:rsidR="00BE4578" w:rsidRPr="00BE4578" w:rsidRDefault="00BE4578" w:rsidP="007F3400">
            <w:pPr>
              <w:rPr>
                <w:b/>
                <w:sz w:val="18"/>
                <w:szCs w:val="18"/>
              </w:rPr>
            </w:pPr>
            <w:r w:rsidRPr="00BE4578">
              <w:rPr>
                <w:b/>
                <w:sz w:val="18"/>
                <w:szCs w:val="18"/>
              </w:rPr>
              <w:t>Portekiz</w:t>
            </w:r>
          </w:p>
        </w:tc>
        <w:tc>
          <w:tcPr>
            <w:tcW w:w="431"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36.782.260</w:t>
            </w:r>
          </w:p>
        </w:tc>
        <w:tc>
          <w:tcPr>
            <w:tcW w:w="380" w:type="pct"/>
            <w:vAlign w:val="center"/>
            <w:hideMark/>
          </w:tcPr>
          <w:p w:rsidR="00BE4578" w:rsidRPr="00BE4578" w:rsidRDefault="00BE4578" w:rsidP="007F3400">
            <w:pPr>
              <w:jc w:val="right"/>
              <w:rPr>
                <w:sz w:val="18"/>
                <w:szCs w:val="18"/>
              </w:rPr>
            </w:pPr>
            <w:r w:rsidRPr="00BE4578">
              <w:rPr>
                <w:sz w:val="18"/>
                <w:szCs w:val="18"/>
              </w:rPr>
              <w:t>41.670.280</w:t>
            </w:r>
          </w:p>
        </w:tc>
        <w:tc>
          <w:tcPr>
            <w:tcW w:w="380" w:type="pct"/>
            <w:vAlign w:val="center"/>
            <w:hideMark/>
          </w:tcPr>
          <w:p w:rsidR="00BE4578" w:rsidRPr="00BE4578" w:rsidRDefault="00BE4578" w:rsidP="007F3400">
            <w:pPr>
              <w:jc w:val="right"/>
              <w:rPr>
                <w:sz w:val="18"/>
                <w:szCs w:val="18"/>
              </w:rPr>
            </w:pPr>
            <w:r w:rsidRPr="00BE4578">
              <w:rPr>
                <w:sz w:val="18"/>
                <w:szCs w:val="18"/>
              </w:rPr>
              <w:t>47.928.707</w:t>
            </w:r>
          </w:p>
        </w:tc>
        <w:tc>
          <w:tcPr>
            <w:tcW w:w="380" w:type="pct"/>
            <w:vAlign w:val="center"/>
            <w:hideMark/>
          </w:tcPr>
          <w:p w:rsidR="00BE4578" w:rsidRPr="00BE4578" w:rsidRDefault="00BE4578" w:rsidP="007F3400">
            <w:pPr>
              <w:jc w:val="right"/>
              <w:rPr>
                <w:sz w:val="18"/>
                <w:szCs w:val="18"/>
              </w:rPr>
            </w:pPr>
            <w:r w:rsidRPr="00BE4578">
              <w:rPr>
                <w:sz w:val="18"/>
                <w:szCs w:val="18"/>
              </w:rPr>
              <w:t>57.999.657</w:t>
            </w:r>
          </w:p>
        </w:tc>
      </w:tr>
      <w:tr w:rsidR="00BE4578" w:rsidRPr="008F791A" w:rsidTr="007F3400">
        <w:trPr>
          <w:trHeight w:val="301"/>
        </w:trPr>
        <w:tc>
          <w:tcPr>
            <w:tcW w:w="387" w:type="pct"/>
            <w:vAlign w:val="center"/>
            <w:hideMark/>
          </w:tcPr>
          <w:p w:rsidR="00BE4578" w:rsidRPr="00BE4578" w:rsidRDefault="00BE4578" w:rsidP="007F3400">
            <w:pPr>
              <w:rPr>
                <w:b/>
                <w:sz w:val="18"/>
                <w:szCs w:val="18"/>
              </w:rPr>
            </w:pPr>
            <w:r w:rsidRPr="00BE4578">
              <w:rPr>
                <w:b/>
                <w:sz w:val="18"/>
                <w:szCs w:val="18"/>
              </w:rPr>
              <w:t>Polonya</w:t>
            </w:r>
          </w:p>
        </w:tc>
        <w:tc>
          <w:tcPr>
            <w:tcW w:w="431"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23.652.200</w:t>
            </w:r>
          </w:p>
        </w:tc>
        <w:tc>
          <w:tcPr>
            <w:tcW w:w="380" w:type="pct"/>
            <w:vAlign w:val="center"/>
            <w:hideMark/>
          </w:tcPr>
          <w:p w:rsidR="00BE4578" w:rsidRPr="00BE4578" w:rsidRDefault="00BE4578" w:rsidP="007F3400">
            <w:pPr>
              <w:jc w:val="right"/>
              <w:rPr>
                <w:sz w:val="18"/>
                <w:szCs w:val="18"/>
              </w:rPr>
            </w:pPr>
            <w:r w:rsidRPr="00BE4578">
              <w:rPr>
                <w:sz w:val="18"/>
                <w:szCs w:val="18"/>
              </w:rPr>
              <w:t>30.775.695</w:t>
            </w:r>
          </w:p>
        </w:tc>
        <w:tc>
          <w:tcPr>
            <w:tcW w:w="380" w:type="pct"/>
            <w:vAlign w:val="center"/>
            <w:hideMark/>
          </w:tcPr>
          <w:p w:rsidR="00BE4578" w:rsidRPr="00BE4578" w:rsidRDefault="00BE4578" w:rsidP="007F3400">
            <w:pPr>
              <w:jc w:val="right"/>
              <w:rPr>
                <w:sz w:val="18"/>
                <w:szCs w:val="18"/>
              </w:rPr>
            </w:pPr>
            <w:r w:rsidRPr="00BE4578">
              <w:rPr>
                <w:sz w:val="18"/>
                <w:szCs w:val="18"/>
              </w:rPr>
              <w:t>36.110.900</w:t>
            </w:r>
          </w:p>
        </w:tc>
        <w:tc>
          <w:tcPr>
            <w:tcW w:w="380" w:type="pct"/>
            <w:vAlign w:val="center"/>
            <w:hideMark/>
          </w:tcPr>
          <w:p w:rsidR="00BE4578" w:rsidRPr="00BE4578" w:rsidRDefault="00BE4578" w:rsidP="007F3400">
            <w:pPr>
              <w:jc w:val="right"/>
              <w:rPr>
                <w:sz w:val="18"/>
                <w:szCs w:val="18"/>
              </w:rPr>
            </w:pPr>
            <w:r w:rsidRPr="00BE4578">
              <w:rPr>
                <w:sz w:val="18"/>
                <w:szCs w:val="18"/>
              </w:rPr>
              <w:t>44.831.519</w:t>
            </w:r>
          </w:p>
        </w:tc>
        <w:tc>
          <w:tcPr>
            <w:tcW w:w="380" w:type="pct"/>
            <w:vAlign w:val="center"/>
            <w:hideMark/>
          </w:tcPr>
          <w:p w:rsidR="00BE4578" w:rsidRPr="00BE4578" w:rsidRDefault="00BE4578" w:rsidP="007F3400">
            <w:pPr>
              <w:jc w:val="right"/>
              <w:rPr>
                <w:sz w:val="18"/>
                <w:szCs w:val="18"/>
              </w:rPr>
            </w:pPr>
            <w:r w:rsidRPr="00BE4578">
              <w:rPr>
                <w:sz w:val="18"/>
                <w:szCs w:val="18"/>
              </w:rPr>
              <w:t>41.152.650</w:t>
            </w:r>
          </w:p>
        </w:tc>
        <w:tc>
          <w:tcPr>
            <w:tcW w:w="380" w:type="pct"/>
            <w:vAlign w:val="center"/>
            <w:hideMark/>
          </w:tcPr>
          <w:p w:rsidR="00BE4578" w:rsidRPr="00BE4578" w:rsidRDefault="00BE4578" w:rsidP="007F3400">
            <w:pPr>
              <w:jc w:val="right"/>
              <w:rPr>
                <w:sz w:val="18"/>
                <w:szCs w:val="18"/>
              </w:rPr>
            </w:pPr>
            <w:r w:rsidRPr="00BE4578">
              <w:rPr>
                <w:sz w:val="18"/>
                <w:szCs w:val="18"/>
              </w:rPr>
              <w:t>49.008.643</w:t>
            </w:r>
          </w:p>
        </w:tc>
      </w:tr>
      <w:tr w:rsidR="00BE4578" w:rsidRPr="008F791A" w:rsidTr="007F3400">
        <w:trPr>
          <w:trHeight w:val="301"/>
        </w:trPr>
        <w:tc>
          <w:tcPr>
            <w:tcW w:w="387" w:type="pct"/>
            <w:vAlign w:val="center"/>
            <w:hideMark/>
          </w:tcPr>
          <w:p w:rsidR="00BE4578" w:rsidRPr="00BE4578" w:rsidRDefault="00BE4578" w:rsidP="007F3400">
            <w:pPr>
              <w:rPr>
                <w:b/>
                <w:sz w:val="18"/>
                <w:szCs w:val="18"/>
              </w:rPr>
            </w:pPr>
            <w:r w:rsidRPr="00BE4578">
              <w:rPr>
                <w:b/>
                <w:sz w:val="18"/>
                <w:szCs w:val="18"/>
              </w:rPr>
              <w:t>Tayland</w:t>
            </w:r>
          </w:p>
        </w:tc>
        <w:tc>
          <w:tcPr>
            <w:tcW w:w="431" w:type="pct"/>
            <w:vAlign w:val="center"/>
            <w:hideMark/>
          </w:tcPr>
          <w:p w:rsidR="00BE4578" w:rsidRPr="00BE4578" w:rsidRDefault="00BE4578" w:rsidP="007F3400">
            <w:pPr>
              <w:jc w:val="right"/>
              <w:rPr>
                <w:sz w:val="18"/>
                <w:szCs w:val="18"/>
              </w:rPr>
            </w:pPr>
            <w:r w:rsidRPr="00BE4578">
              <w:rPr>
                <w:sz w:val="18"/>
                <w:szCs w:val="18"/>
              </w:rPr>
              <w:t>15.518.140</w:t>
            </w:r>
          </w:p>
        </w:tc>
        <w:tc>
          <w:tcPr>
            <w:tcW w:w="380" w:type="pct"/>
            <w:vAlign w:val="center"/>
            <w:hideMark/>
          </w:tcPr>
          <w:p w:rsidR="00BE4578" w:rsidRPr="00BE4578" w:rsidRDefault="00BE4578" w:rsidP="007F3400">
            <w:pPr>
              <w:jc w:val="right"/>
              <w:rPr>
                <w:sz w:val="18"/>
                <w:szCs w:val="18"/>
              </w:rPr>
            </w:pPr>
            <w:r w:rsidRPr="00BE4578">
              <w:rPr>
                <w:sz w:val="18"/>
                <w:szCs w:val="18"/>
              </w:rPr>
              <w:t>17.074.835</w:t>
            </w:r>
          </w:p>
        </w:tc>
        <w:tc>
          <w:tcPr>
            <w:tcW w:w="380" w:type="pct"/>
            <w:vAlign w:val="center"/>
            <w:hideMark/>
          </w:tcPr>
          <w:p w:rsidR="00BE4578" w:rsidRPr="00BE4578" w:rsidRDefault="00BE4578" w:rsidP="007F3400">
            <w:pPr>
              <w:jc w:val="right"/>
              <w:rPr>
                <w:sz w:val="18"/>
                <w:szCs w:val="18"/>
              </w:rPr>
            </w:pPr>
            <w:r w:rsidRPr="00BE4578">
              <w:rPr>
                <w:sz w:val="18"/>
                <w:szCs w:val="18"/>
              </w:rPr>
              <w:t>26.992.660</w:t>
            </w:r>
          </w:p>
        </w:tc>
        <w:tc>
          <w:tcPr>
            <w:tcW w:w="380" w:type="pct"/>
            <w:vAlign w:val="center"/>
            <w:hideMark/>
          </w:tcPr>
          <w:p w:rsidR="00BE4578" w:rsidRPr="00BE4578" w:rsidRDefault="00BE4578" w:rsidP="007F3400">
            <w:pPr>
              <w:jc w:val="right"/>
              <w:rPr>
                <w:sz w:val="18"/>
                <w:szCs w:val="18"/>
              </w:rPr>
            </w:pPr>
            <w:r w:rsidRPr="00BE4578">
              <w:rPr>
                <w:sz w:val="18"/>
                <w:szCs w:val="18"/>
              </w:rPr>
              <w:t>24.501.826</w:t>
            </w:r>
          </w:p>
        </w:tc>
        <w:tc>
          <w:tcPr>
            <w:tcW w:w="380" w:type="pct"/>
            <w:vAlign w:val="center"/>
            <w:hideMark/>
          </w:tcPr>
          <w:p w:rsidR="00BE4578" w:rsidRPr="00BE4578" w:rsidRDefault="00BE4578" w:rsidP="007F3400">
            <w:pPr>
              <w:jc w:val="right"/>
              <w:rPr>
                <w:sz w:val="18"/>
                <w:szCs w:val="18"/>
              </w:rPr>
            </w:pPr>
            <w:r w:rsidRPr="00BE4578">
              <w:rPr>
                <w:sz w:val="18"/>
                <w:szCs w:val="18"/>
              </w:rPr>
              <w:t>20.649.970</w:t>
            </w:r>
          </w:p>
        </w:tc>
        <w:tc>
          <w:tcPr>
            <w:tcW w:w="380" w:type="pct"/>
            <w:vAlign w:val="center"/>
            <w:hideMark/>
          </w:tcPr>
          <w:p w:rsidR="00BE4578" w:rsidRPr="00BE4578" w:rsidRDefault="00BE4578" w:rsidP="007F3400">
            <w:pPr>
              <w:jc w:val="right"/>
              <w:rPr>
                <w:sz w:val="18"/>
                <w:szCs w:val="18"/>
              </w:rPr>
            </w:pPr>
            <w:r w:rsidRPr="00BE4578">
              <w:rPr>
                <w:sz w:val="18"/>
                <w:szCs w:val="18"/>
              </w:rPr>
              <w:t>20.042.220</w:t>
            </w:r>
          </w:p>
        </w:tc>
        <w:tc>
          <w:tcPr>
            <w:tcW w:w="380" w:type="pct"/>
            <w:vAlign w:val="center"/>
            <w:hideMark/>
          </w:tcPr>
          <w:p w:rsidR="00BE4578" w:rsidRPr="00BE4578" w:rsidRDefault="00BE4578" w:rsidP="007F3400">
            <w:pPr>
              <w:jc w:val="right"/>
              <w:rPr>
                <w:sz w:val="18"/>
                <w:szCs w:val="18"/>
              </w:rPr>
            </w:pPr>
            <w:r w:rsidRPr="00BE4578">
              <w:rPr>
                <w:sz w:val="18"/>
                <w:szCs w:val="18"/>
              </w:rPr>
              <w:t>7.082.800</w:t>
            </w:r>
          </w:p>
        </w:tc>
        <w:tc>
          <w:tcPr>
            <w:tcW w:w="380" w:type="pct"/>
            <w:vAlign w:val="center"/>
            <w:hideMark/>
          </w:tcPr>
          <w:p w:rsidR="00BE4578" w:rsidRPr="00BE4578" w:rsidRDefault="00BE4578" w:rsidP="007F3400">
            <w:pPr>
              <w:jc w:val="right"/>
              <w:rPr>
                <w:sz w:val="18"/>
                <w:szCs w:val="18"/>
              </w:rPr>
            </w:pPr>
            <w:r w:rsidRPr="00BE4578">
              <w:rPr>
                <w:sz w:val="18"/>
                <w:szCs w:val="18"/>
              </w:rPr>
              <w:t>10.067.169</w:t>
            </w:r>
          </w:p>
        </w:tc>
        <w:tc>
          <w:tcPr>
            <w:tcW w:w="380" w:type="pct"/>
            <w:vAlign w:val="center"/>
            <w:hideMark/>
          </w:tcPr>
          <w:p w:rsidR="00BE4578" w:rsidRPr="00BE4578" w:rsidRDefault="00BE4578" w:rsidP="007F3400">
            <w:pPr>
              <w:jc w:val="right"/>
              <w:rPr>
                <w:sz w:val="18"/>
                <w:szCs w:val="18"/>
              </w:rPr>
            </w:pPr>
            <w:r w:rsidRPr="00BE4578">
              <w:rPr>
                <w:sz w:val="18"/>
                <w:szCs w:val="18"/>
              </w:rPr>
              <w:t>12.993.710</w:t>
            </w:r>
          </w:p>
        </w:tc>
        <w:tc>
          <w:tcPr>
            <w:tcW w:w="380" w:type="pct"/>
            <w:vAlign w:val="center"/>
            <w:hideMark/>
          </w:tcPr>
          <w:p w:rsidR="00BE4578" w:rsidRPr="00BE4578" w:rsidRDefault="00BE4578" w:rsidP="007F3400">
            <w:pPr>
              <w:jc w:val="right"/>
              <w:rPr>
                <w:sz w:val="18"/>
                <w:szCs w:val="18"/>
              </w:rPr>
            </w:pPr>
            <w:r w:rsidRPr="00BE4578">
              <w:rPr>
                <w:sz w:val="18"/>
                <w:szCs w:val="18"/>
              </w:rPr>
              <w:t>15.999.920</w:t>
            </w:r>
          </w:p>
        </w:tc>
        <w:tc>
          <w:tcPr>
            <w:tcW w:w="380" w:type="pct"/>
            <w:vAlign w:val="center"/>
            <w:hideMark/>
          </w:tcPr>
          <w:p w:rsidR="00BE4578" w:rsidRPr="00BE4578" w:rsidRDefault="00BE4578" w:rsidP="007F3400">
            <w:pPr>
              <w:jc w:val="right"/>
              <w:rPr>
                <w:sz w:val="18"/>
                <w:szCs w:val="18"/>
              </w:rPr>
            </w:pPr>
            <w:r w:rsidRPr="00BE4578">
              <w:rPr>
                <w:sz w:val="18"/>
                <w:szCs w:val="18"/>
              </w:rPr>
              <w:t>7.920.000</w:t>
            </w:r>
          </w:p>
        </w:tc>
        <w:tc>
          <w:tcPr>
            <w:tcW w:w="380" w:type="pct"/>
            <w:vAlign w:val="center"/>
            <w:hideMark/>
          </w:tcPr>
          <w:p w:rsidR="00BE4578" w:rsidRPr="00BE4578" w:rsidRDefault="00BE4578" w:rsidP="007F3400">
            <w:pPr>
              <w:jc w:val="right"/>
              <w:rPr>
                <w:sz w:val="18"/>
                <w:szCs w:val="18"/>
              </w:rPr>
            </w:pPr>
            <w:r w:rsidRPr="00BE4578">
              <w:rPr>
                <w:sz w:val="18"/>
                <w:szCs w:val="18"/>
              </w:rPr>
              <w:t>9.452.027</w:t>
            </w:r>
          </w:p>
        </w:tc>
      </w:tr>
      <w:tr w:rsidR="00BE4578" w:rsidRPr="008F791A" w:rsidTr="007F3400">
        <w:trPr>
          <w:trHeight w:val="301"/>
        </w:trPr>
        <w:tc>
          <w:tcPr>
            <w:tcW w:w="387" w:type="pct"/>
            <w:vAlign w:val="center"/>
            <w:hideMark/>
          </w:tcPr>
          <w:p w:rsidR="00BE4578" w:rsidRPr="00BE4578" w:rsidRDefault="00BE4578" w:rsidP="007F3400">
            <w:pPr>
              <w:rPr>
                <w:b/>
                <w:sz w:val="18"/>
                <w:szCs w:val="18"/>
              </w:rPr>
            </w:pPr>
            <w:r w:rsidRPr="00BE4578">
              <w:rPr>
                <w:b/>
                <w:sz w:val="18"/>
                <w:szCs w:val="18"/>
              </w:rPr>
              <w:t>Brezilya</w:t>
            </w:r>
          </w:p>
        </w:tc>
        <w:tc>
          <w:tcPr>
            <w:tcW w:w="431"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4.050.000</w:t>
            </w:r>
          </w:p>
        </w:tc>
        <w:tc>
          <w:tcPr>
            <w:tcW w:w="380" w:type="pct"/>
            <w:vAlign w:val="center"/>
            <w:hideMark/>
          </w:tcPr>
          <w:p w:rsidR="00BE4578" w:rsidRPr="00BE4578" w:rsidRDefault="00BE4578" w:rsidP="007F3400">
            <w:pPr>
              <w:jc w:val="right"/>
              <w:rPr>
                <w:sz w:val="18"/>
                <w:szCs w:val="18"/>
              </w:rPr>
            </w:pPr>
            <w:r w:rsidRPr="00BE4578">
              <w:rPr>
                <w:sz w:val="18"/>
                <w:szCs w:val="18"/>
              </w:rPr>
              <w:t>4.581.167</w:t>
            </w:r>
          </w:p>
        </w:tc>
      </w:tr>
      <w:tr w:rsidR="00BE4578" w:rsidRPr="008F791A" w:rsidTr="007F3400">
        <w:trPr>
          <w:trHeight w:val="301"/>
        </w:trPr>
        <w:tc>
          <w:tcPr>
            <w:tcW w:w="387" w:type="pct"/>
            <w:vAlign w:val="center"/>
            <w:hideMark/>
          </w:tcPr>
          <w:p w:rsidR="00BE4578" w:rsidRPr="00BE4578" w:rsidRDefault="00BE4578" w:rsidP="007F3400">
            <w:pPr>
              <w:rPr>
                <w:b/>
                <w:sz w:val="18"/>
                <w:szCs w:val="18"/>
              </w:rPr>
            </w:pPr>
            <w:r w:rsidRPr="00BE4578">
              <w:rPr>
                <w:b/>
                <w:sz w:val="18"/>
                <w:szCs w:val="18"/>
              </w:rPr>
              <w:t>İngiltere</w:t>
            </w:r>
          </w:p>
        </w:tc>
        <w:tc>
          <w:tcPr>
            <w:tcW w:w="431" w:type="pct"/>
            <w:vAlign w:val="center"/>
            <w:hideMark/>
          </w:tcPr>
          <w:p w:rsidR="00BE4578" w:rsidRPr="00BE4578" w:rsidRDefault="00BE4578" w:rsidP="007F3400">
            <w:pPr>
              <w:jc w:val="right"/>
              <w:rPr>
                <w:sz w:val="18"/>
                <w:szCs w:val="18"/>
              </w:rPr>
            </w:pPr>
            <w:r w:rsidRPr="00BE4578">
              <w:rPr>
                <w:sz w:val="18"/>
                <w:szCs w:val="18"/>
              </w:rPr>
              <w:t>8.504.100</w:t>
            </w:r>
          </w:p>
        </w:tc>
        <w:tc>
          <w:tcPr>
            <w:tcW w:w="380" w:type="pct"/>
            <w:vAlign w:val="center"/>
            <w:hideMark/>
          </w:tcPr>
          <w:p w:rsidR="00BE4578" w:rsidRPr="00BE4578" w:rsidRDefault="00BE4578" w:rsidP="007F3400">
            <w:pPr>
              <w:jc w:val="right"/>
              <w:rPr>
                <w:sz w:val="18"/>
                <w:szCs w:val="18"/>
              </w:rPr>
            </w:pPr>
            <w:r w:rsidRPr="00BE4578">
              <w:rPr>
                <w:sz w:val="18"/>
                <w:szCs w:val="18"/>
              </w:rPr>
              <w:t>8.054.267</w:t>
            </w:r>
          </w:p>
        </w:tc>
        <w:tc>
          <w:tcPr>
            <w:tcW w:w="380" w:type="pct"/>
            <w:vAlign w:val="center"/>
            <w:hideMark/>
          </w:tcPr>
          <w:p w:rsidR="00BE4578" w:rsidRPr="00BE4578" w:rsidRDefault="00BE4578" w:rsidP="007F3400">
            <w:pPr>
              <w:jc w:val="right"/>
              <w:rPr>
                <w:sz w:val="18"/>
                <w:szCs w:val="18"/>
              </w:rPr>
            </w:pPr>
            <w:r w:rsidRPr="00BE4578">
              <w:rPr>
                <w:sz w:val="18"/>
                <w:szCs w:val="18"/>
              </w:rPr>
              <w:t>9.396.960</w:t>
            </w:r>
          </w:p>
        </w:tc>
        <w:tc>
          <w:tcPr>
            <w:tcW w:w="380" w:type="pct"/>
            <w:vAlign w:val="center"/>
            <w:hideMark/>
          </w:tcPr>
          <w:p w:rsidR="00BE4578" w:rsidRPr="00BE4578" w:rsidRDefault="00BE4578" w:rsidP="007F3400">
            <w:pPr>
              <w:jc w:val="right"/>
              <w:rPr>
                <w:sz w:val="18"/>
                <w:szCs w:val="18"/>
              </w:rPr>
            </w:pPr>
            <w:r w:rsidRPr="00BE4578">
              <w:rPr>
                <w:sz w:val="18"/>
                <w:szCs w:val="18"/>
              </w:rPr>
              <w:t>6.584.154</w:t>
            </w:r>
          </w:p>
        </w:tc>
        <w:tc>
          <w:tcPr>
            <w:tcW w:w="380" w:type="pct"/>
            <w:vAlign w:val="center"/>
            <w:hideMark/>
          </w:tcPr>
          <w:p w:rsidR="00BE4578" w:rsidRPr="00BE4578" w:rsidRDefault="00BE4578" w:rsidP="007F3400">
            <w:pPr>
              <w:jc w:val="right"/>
              <w:rPr>
                <w:sz w:val="18"/>
                <w:szCs w:val="18"/>
              </w:rPr>
            </w:pPr>
            <w:r w:rsidRPr="00BE4578">
              <w:rPr>
                <w:sz w:val="18"/>
                <w:szCs w:val="18"/>
              </w:rPr>
              <w:t>16.593.040</w:t>
            </w:r>
          </w:p>
        </w:tc>
        <w:tc>
          <w:tcPr>
            <w:tcW w:w="380" w:type="pct"/>
            <w:vAlign w:val="center"/>
            <w:hideMark/>
          </w:tcPr>
          <w:p w:rsidR="00BE4578" w:rsidRPr="00BE4578" w:rsidRDefault="00BE4578" w:rsidP="007F3400">
            <w:pPr>
              <w:jc w:val="right"/>
              <w:rPr>
                <w:sz w:val="18"/>
                <w:szCs w:val="18"/>
              </w:rPr>
            </w:pPr>
            <w:r w:rsidRPr="00BE4578">
              <w:rPr>
                <w:sz w:val="18"/>
                <w:szCs w:val="18"/>
              </w:rPr>
              <w:t>15.988.040</w:t>
            </w:r>
          </w:p>
        </w:tc>
        <w:tc>
          <w:tcPr>
            <w:tcW w:w="380" w:type="pct"/>
            <w:vAlign w:val="center"/>
            <w:hideMark/>
          </w:tcPr>
          <w:p w:rsidR="00BE4578" w:rsidRPr="00BE4578" w:rsidRDefault="00BE4578" w:rsidP="007F3400">
            <w:pPr>
              <w:jc w:val="right"/>
              <w:rPr>
                <w:sz w:val="18"/>
                <w:szCs w:val="18"/>
              </w:rPr>
            </w:pPr>
            <w:r w:rsidRPr="00BE4578">
              <w:rPr>
                <w:sz w:val="18"/>
                <w:szCs w:val="18"/>
              </w:rPr>
              <w:t>4.857.080</w:t>
            </w:r>
          </w:p>
        </w:tc>
        <w:tc>
          <w:tcPr>
            <w:tcW w:w="380" w:type="pct"/>
            <w:vAlign w:val="center"/>
            <w:hideMark/>
          </w:tcPr>
          <w:p w:rsidR="00BE4578" w:rsidRPr="00BE4578" w:rsidRDefault="00BE4578" w:rsidP="007F3400">
            <w:pPr>
              <w:jc w:val="right"/>
              <w:rPr>
                <w:sz w:val="18"/>
                <w:szCs w:val="18"/>
              </w:rPr>
            </w:pPr>
            <w:r w:rsidRPr="00BE4578">
              <w:rPr>
                <w:sz w:val="18"/>
                <w:szCs w:val="18"/>
              </w:rPr>
              <w:t>6.174.677</w:t>
            </w:r>
          </w:p>
        </w:tc>
        <w:tc>
          <w:tcPr>
            <w:tcW w:w="380" w:type="pct"/>
            <w:vAlign w:val="center"/>
            <w:hideMark/>
          </w:tcPr>
          <w:p w:rsidR="00BE4578" w:rsidRPr="00BE4578" w:rsidRDefault="00BE4578" w:rsidP="007F3400">
            <w:pPr>
              <w:jc w:val="right"/>
              <w:rPr>
                <w:sz w:val="18"/>
                <w:szCs w:val="18"/>
              </w:rPr>
            </w:pPr>
            <w:r w:rsidRPr="00BE4578">
              <w:rPr>
                <w:sz w:val="18"/>
                <w:szCs w:val="18"/>
              </w:rPr>
              <w:t>19.676.320</w:t>
            </w:r>
          </w:p>
        </w:tc>
        <w:tc>
          <w:tcPr>
            <w:tcW w:w="380" w:type="pct"/>
            <w:vAlign w:val="center"/>
            <w:hideMark/>
          </w:tcPr>
          <w:p w:rsidR="00BE4578" w:rsidRPr="00BE4578" w:rsidRDefault="00BE4578" w:rsidP="007F3400">
            <w:pPr>
              <w:jc w:val="right"/>
              <w:rPr>
                <w:sz w:val="18"/>
                <w:szCs w:val="18"/>
              </w:rPr>
            </w:pPr>
            <w:r w:rsidRPr="00BE4578">
              <w:rPr>
                <w:sz w:val="18"/>
                <w:szCs w:val="18"/>
              </w:rPr>
              <w:t>23.278.176</w:t>
            </w:r>
          </w:p>
        </w:tc>
        <w:tc>
          <w:tcPr>
            <w:tcW w:w="380" w:type="pct"/>
            <w:vAlign w:val="center"/>
            <w:hideMark/>
          </w:tcPr>
          <w:p w:rsidR="00BE4578" w:rsidRPr="00BE4578" w:rsidRDefault="00BE4578" w:rsidP="007F3400">
            <w:pPr>
              <w:jc w:val="right"/>
              <w:rPr>
                <w:sz w:val="18"/>
                <w:szCs w:val="18"/>
              </w:rPr>
            </w:pPr>
            <w:r w:rsidRPr="00BE4578">
              <w:rPr>
                <w:sz w:val="18"/>
                <w:szCs w:val="18"/>
              </w:rPr>
              <w:t>3.754.680</w:t>
            </w:r>
          </w:p>
        </w:tc>
        <w:tc>
          <w:tcPr>
            <w:tcW w:w="380" w:type="pct"/>
            <w:vAlign w:val="center"/>
            <w:hideMark/>
          </w:tcPr>
          <w:p w:rsidR="00BE4578" w:rsidRPr="00BE4578" w:rsidRDefault="00BE4578" w:rsidP="007F3400">
            <w:pPr>
              <w:jc w:val="right"/>
              <w:rPr>
                <w:sz w:val="18"/>
                <w:szCs w:val="18"/>
              </w:rPr>
            </w:pPr>
            <w:r w:rsidRPr="00BE4578">
              <w:rPr>
                <w:sz w:val="18"/>
                <w:szCs w:val="18"/>
              </w:rPr>
              <w:t>2.458.535</w:t>
            </w:r>
          </w:p>
        </w:tc>
      </w:tr>
      <w:tr w:rsidR="00BE4578" w:rsidRPr="008F791A" w:rsidTr="007F3400">
        <w:trPr>
          <w:trHeight w:val="301"/>
        </w:trPr>
        <w:tc>
          <w:tcPr>
            <w:tcW w:w="387" w:type="pct"/>
            <w:vAlign w:val="center"/>
            <w:hideMark/>
          </w:tcPr>
          <w:p w:rsidR="00BE4578" w:rsidRPr="00BE4578" w:rsidRDefault="00BE4578" w:rsidP="007F3400">
            <w:pPr>
              <w:rPr>
                <w:b/>
                <w:sz w:val="18"/>
                <w:szCs w:val="18"/>
              </w:rPr>
            </w:pPr>
            <w:r w:rsidRPr="00BE4578">
              <w:rPr>
                <w:b/>
                <w:sz w:val="18"/>
                <w:szCs w:val="18"/>
              </w:rPr>
              <w:t>İran</w:t>
            </w:r>
          </w:p>
        </w:tc>
        <w:tc>
          <w:tcPr>
            <w:tcW w:w="431"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64.000</w:t>
            </w:r>
          </w:p>
        </w:tc>
        <w:tc>
          <w:tcPr>
            <w:tcW w:w="380" w:type="pct"/>
            <w:vAlign w:val="center"/>
            <w:hideMark/>
          </w:tcPr>
          <w:p w:rsidR="00BE4578" w:rsidRPr="00BE4578" w:rsidRDefault="00BE4578" w:rsidP="007F3400">
            <w:pPr>
              <w:jc w:val="right"/>
              <w:rPr>
                <w:sz w:val="18"/>
                <w:szCs w:val="18"/>
              </w:rPr>
            </w:pPr>
            <w:r w:rsidRPr="00BE4578">
              <w:rPr>
                <w:sz w:val="18"/>
                <w:szCs w:val="18"/>
              </w:rPr>
              <w:t>84.500</w:t>
            </w:r>
          </w:p>
        </w:tc>
        <w:tc>
          <w:tcPr>
            <w:tcW w:w="380" w:type="pct"/>
            <w:vAlign w:val="center"/>
            <w:hideMark/>
          </w:tcPr>
          <w:p w:rsidR="00BE4578" w:rsidRPr="00BE4578" w:rsidRDefault="00BE4578" w:rsidP="007F3400">
            <w:pPr>
              <w:jc w:val="right"/>
              <w:rPr>
                <w:sz w:val="18"/>
                <w:szCs w:val="18"/>
              </w:rPr>
            </w:pPr>
            <w:r w:rsidRPr="00BE4578">
              <w:rPr>
                <w:sz w:val="18"/>
                <w:szCs w:val="18"/>
              </w:rPr>
              <w:t>1.275</w:t>
            </w:r>
          </w:p>
        </w:tc>
        <w:tc>
          <w:tcPr>
            <w:tcW w:w="380" w:type="pct"/>
            <w:vAlign w:val="center"/>
            <w:hideMark/>
          </w:tcPr>
          <w:p w:rsidR="00BE4578" w:rsidRPr="00BE4578" w:rsidRDefault="00BE4578" w:rsidP="007F3400">
            <w:pPr>
              <w:jc w:val="right"/>
              <w:rPr>
                <w:sz w:val="18"/>
                <w:szCs w:val="18"/>
              </w:rPr>
            </w:pPr>
            <w:r w:rsidRPr="00BE4578">
              <w:rPr>
                <w:sz w:val="18"/>
                <w:szCs w:val="18"/>
              </w:rPr>
              <w:t>765</w:t>
            </w:r>
          </w:p>
        </w:tc>
        <w:tc>
          <w:tcPr>
            <w:tcW w:w="380" w:type="pct"/>
            <w:vAlign w:val="center"/>
            <w:hideMark/>
          </w:tcPr>
          <w:p w:rsidR="00BE4578" w:rsidRPr="00BE4578" w:rsidRDefault="00BE4578" w:rsidP="007F3400">
            <w:pPr>
              <w:jc w:val="right"/>
              <w:rPr>
                <w:sz w:val="18"/>
                <w:szCs w:val="18"/>
              </w:rPr>
            </w:pPr>
            <w:r w:rsidRPr="00BE4578">
              <w:rPr>
                <w:sz w:val="18"/>
                <w:szCs w:val="18"/>
              </w:rPr>
              <w:t>1.701.922</w:t>
            </w:r>
          </w:p>
        </w:tc>
        <w:tc>
          <w:tcPr>
            <w:tcW w:w="380" w:type="pct"/>
            <w:vAlign w:val="center"/>
            <w:hideMark/>
          </w:tcPr>
          <w:p w:rsidR="00BE4578" w:rsidRPr="00BE4578" w:rsidRDefault="00BE4578" w:rsidP="007F3400">
            <w:pPr>
              <w:jc w:val="right"/>
              <w:rPr>
                <w:sz w:val="18"/>
                <w:szCs w:val="18"/>
              </w:rPr>
            </w:pPr>
            <w:r w:rsidRPr="00BE4578">
              <w:rPr>
                <w:sz w:val="18"/>
                <w:szCs w:val="18"/>
              </w:rPr>
              <w:t>971.869</w:t>
            </w:r>
          </w:p>
        </w:tc>
      </w:tr>
      <w:tr w:rsidR="00BE4578" w:rsidRPr="008F791A" w:rsidTr="007F3400">
        <w:trPr>
          <w:trHeight w:val="301"/>
        </w:trPr>
        <w:tc>
          <w:tcPr>
            <w:tcW w:w="387" w:type="pct"/>
            <w:vAlign w:val="center"/>
            <w:hideMark/>
          </w:tcPr>
          <w:p w:rsidR="00BE4578" w:rsidRPr="00BE4578" w:rsidRDefault="00BE4578" w:rsidP="007F3400">
            <w:pPr>
              <w:rPr>
                <w:b/>
                <w:sz w:val="18"/>
                <w:szCs w:val="18"/>
              </w:rPr>
            </w:pPr>
            <w:r w:rsidRPr="00BE4578">
              <w:rPr>
                <w:b/>
                <w:sz w:val="18"/>
                <w:szCs w:val="18"/>
              </w:rPr>
              <w:t>Pakistan</w:t>
            </w:r>
          </w:p>
        </w:tc>
        <w:tc>
          <w:tcPr>
            <w:tcW w:w="431"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247.100</w:t>
            </w:r>
          </w:p>
        </w:tc>
        <w:tc>
          <w:tcPr>
            <w:tcW w:w="380" w:type="pct"/>
            <w:vAlign w:val="center"/>
            <w:hideMark/>
          </w:tcPr>
          <w:p w:rsidR="00BE4578" w:rsidRPr="00BE4578" w:rsidRDefault="00BE4578" w:rsidP="007F3400">
            <w:pPr>
              <w:jc w:val="right"/>
              <w:rPr>
                <w:sz w:val="18"/>
                <w:szCs w:val="18"/>
              </w:rPr>
            </w:pPr>
            <w:r w:rsidRPr="00BE4578">
              <w:rPr>
                <w:sz w:val="18"/>
                <w:szCs w:val="18"/>
              </w:rPr>
              <w:t>317.174</w:t>
            </w:r>
          </w:p>
        </w:tc>
        <w:tc>
          <w:tcPr>
            <w:tcW w:w="380" w:type="pct"/>
            <w:vAlign w:val="center"/>
            <w:hideMark/>
          </w:tcPr>
          <w:p w:rsidR="00BE4578" w:rsidRPr="00BE4578" w:rsidRDefault="00BE4578" w:rsidP="007F3400">
            <w:pPr>
              <w:jc w:val="right"/>
              <w:rPr>
                <w:sz w:val="18"/>
                <w:szCs w:val="18"/>
              </w:rPr>
            </w:pPr>
            <w:r w:rsidRPr="00BE4578">
              <w:rPr>
                <w:sz w:val="18"/>
                <w:szCs w:val="18"/>
              </w:rPr>
              <w:t>506.000</w:t>
            </w:r>
          </w:p>
        </w:tc>
        <w:tc>
          <w:tcPr>
            <w:tcW w:w="380" w:type="pct"/>
            <w:vAlign w:val="center"/>
            <w:hideMark/>
          </w:tcPr>
          <w:p w:rsidR="00BE4578" w:rsidRPr="00BE4578" w:rsidRDefault="00BE4578" w:rsidP="007F3400">
            <w:pPr>
              <w:jc w:val="right"/>
              <w:rPr>
                <w:sz w:val="18"/>
                <w:szCs w:val="18"/>
              </w:rPr>
            </w:pPr>
            <w:r w:rsidRPr="00BE4578">
              <w:rPr>
                <w:sz w:val="18"/>
                <w:szCs w:val="18"/>
              </w:rPr>
              <w:t>574.310</w:t>
            </w:r>
          </w:p>
        </w:tc>
        <w:tc>
          <w:tcPr>
            <w:tcW w:w="380" w:type="pct"/>
            <w:vAlign w:val="center"/>
            <w:hideMark/>
          </w:tcPr>
          <w:p w:rsidR="00BE4578" w:rsidRPr="00BE4578" w:rsidRDefault="00BE4578" w:rsidP="007F3400">
            <w:pPr>
              <w:jc w:val="right"/>
              <w:rPr>
                <w:sz w:val="18"/>
                <w:szCs w:val="18"/>
              </w:rPr>
            </w:pPr>
            <w:r w:rsidRPr="00BE4578">
              <w:rPr>
                <w:sz w:val="18"/>
                <w:szCs w:val="18"/>
              </w:rPr>
              <w:t>652.925</w:t>
            </w:r>
          </w:p>
        </w:tc>
        <w:tc>
          <w:tcPr>
            <w:tcW w:w="380" w:type="pct"/>
            <w:vAlign w:val="center"/>
            <w:hideMark/>
          </w:tcPr>
          <w:p w:rsidR="00BE4578" w:rsidRPr="00BE4578" w:rsidRDefault="00BE4578" w:rsidP="007F3400">
            <w:pPr>
              <w:jc w:val="right"/>
              <w:rPr>
                <w:sz w:val="18"/>
                <w:szCs w:val="18"/>
              </w:rPr>
            </w:pPr>
            <w:r w:rsidRPr="00BE4578">
              <w:rPr>
                <w:sz w:val="18"/>
                <w:szCs w:val="18"/>
              </w:rPr>
              <w:t>405.795</w:t>
            </w:r>
          </w:p>
        </w:tc>
      </w:tr>
      <w:tr w:rsidR="00BE4578" w:rsidRPr="008F791A" w:rsidTr="007F3400">
        <w:trPr>
          <w:trHeight w:val="301"/>
        </w:trPr>
        <w:tc>
          <w:tcPr>
            <w:tcW w:w="387" w:type="pct"/>
            <w:vAlign w:val="center"/>
            <w:hideMark/>
          </w:tcPr>
          <w:p w:rsidR="00BE4578" w:rsidRPr="00BE4578" w:rsidRDefault="00BE4578" w:rsidP="007F3400">
            <w:pPr>
              <w:rPr>
                <w:b/>
                <w:sz w:val="18"/>
                <w:szCs w:val="18"/>
              </w:rPr>
            </w:pPr>
            <w:r w:rsidRPr="00BE4578">
              <w:rPr>
                <w:b/>
                <w:sz w:val="18"/>
                <w:szCs w:val="18"/>
              </w:rPr>
              <w:t>Meksika</w:t>
            </w:r>
          </w:p>
        </w:tc>
        <w:tc>
          <w:tcPr>
            <w:tcW w:w="431"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4.800.000</w:t>
            </w:r>
          </w:p>
        </w:tc>
        <w:tc>
          <w:tcPr>
            <w:tcW w:w="380" w:type="pct"/>
            <w:vAlign w:val="center"/>
            <w:hideMark/>
          </w:tcPr>
          <w:p w:rsidR="00BE4578" w:rsidRPr="00BE4578" w:rsidRDefault="00BE4578" w:rsidP="007F3400">
            <w:pPr>
              <w:jc w:val="right"/>
              <w:rPr>
                <w:sz w:val="18"/>
                <w:szCs w:val="18"/>
              </w:rPr>
            </w:pPr>
            <w:r w:rsidRPr="00BE4578">
              <w:rPr>
                <w:sz w:val="18"/>
                <w:szCs w:val="18"/>
              </w:rPr>
              <w:t>2.155.305</w:t>
            </w:r>
          </w:p>
        </w:tc>
        <w:tc>
          <w:tcPr>
            <w:tcW w:w="380" w:type="pct"/>
            <w:vAlign w:val="center"/>
            <w:hideMark/>
          </w:tcPr>
          <w:p w:rsidR="00BE4578" w:rsidRPr="00BE4578" w:rsidRDefault="00BE4578" w:rsidP="007F3400">
            <w:pPr>
              <w:jc w:val="right"/>
              <w:rPr>
                <w:sz w:val="18"/>
                <w:szCs w:val="18"/>
              </w:rPr>
            </w:pPr>
            <w:r w:rsidRPr="00BE4578">
              <w:rPr>
                <w:sz w:val="18"/>
                <w:szCs w:val="18"/>
              </w:rPr>
              <w:t>500.000</w:t>
            </w:r>
          </w:p>
        </w:tc>
        <w:tc>
          <w:tcPr>
            <w:tcW w:w="380" w:type="pct"/>
            <w:vAlign w:val="center"/>
            <w:hideMark/>
          </w:tcPr>
          <w:p w:rsidR="00BE4578" w:rsidRPr="00BE4578" w:rsidRDefault="00BE4578" w:rsidP="007F3400">
            <w:pPr>
              <w:jc w:val="right"/>
              <w:rPr>
                <w:sz w:val="18"/>
                <w:szCs w:val="18"/>
              </w:rPr>
            </w:pPr>
            <w:r w:rsidRPr="00BE4578">
              <w:rPr>
                <w:sz w:val="18"/>
                <w:szCs w:val="18"/>
              </w:rPr>
              <w:t>236.105</w:t>
            </w:r>
          </w:p>
        </w:tc>
      </w:tr>
      <w:tr w:rsidR="00BE4578" w:rsidRPr="008F791A" w:rsidTr="007F3400">
        <w:trPr>
          <w:trHeight w:val="301"/>
        </w:trPr>
        <w:tc>
          <w:tcPr>
            <w:tcW w:w="387" w:type="pct"/>
            <w:vAlign w:val="center"/>
            <w:hideMark/>
          </w:tcPr>
          <w:p w:rsidR="00BE4578" w:rsidRPr="00BE4578" w:rsidRDefault="00BE4578" w:rsidP="007F3400">
            <w:pPr>
              <w:rPr>
                <w:b/>
                <w:sz w:val="18"/>
                <w:szCs w:val="18"/>
              </w:rPr>
            </w:pPr>
            <w:r w:rsidRPr="00BE4578">
              <w:rPr>
                <w:b/>
                <w:sz w:val="18"/>
                <w:szCs w:val="18"/>
              </w:rPr>
              <w:t>A.B.D.</w:t>
            </w:r>
          </w:p>
        </w:tc>
        <w:tc>
          <w:tcPr>
            <w:tcW w:w="431" w:type="pct"/>
            <w:vAlign w:val="center"/>
            <w:hideMark/>
          </w:tcPr>
          <w:p w:rsidR="00BE4578" w:rsidRPr="00BE4578" w:rsidRDefault="00BE4578" w:rsidP="007F3400">
            <w:pPr>
              <w:jc w:val="right"/>
              <w:rPr>
                <w:sz w:val="18"/>
                <w:szCs w:val="18"/>
              </w:rPr>
            </w:pPr>
            <w:r w:rsidRPr="00BE4578">
              <w:rPr>
                <w:sz w:val="18"/>
                <w:szCs w:val="18"/>
              </w:rPr>
              <w:t>18.088.836</w:t>
            </w:r>
          </w:p>
        </w:tc>
        <w:tc>
          <w:tcPr>
            <w:tcW w:w="380" w:type="pct"/>
            <w:vAlign w:val="center"/>
            <w:hideMark/>
          </w:tcPr>
          <w:p w:rsidR="00BE4578" w:rsidRPr="00BE4578" w:rsidRDefault="00BE4578" w:rsidP="007F3400">
            <w:pPr>
              <w:jc w:val="right"/>
              <w:rPr>
                <w:sz w:val="18"/>
                <w:szCs w:val="18"/>
              </w:rPr>
            </w:pPr>
            <w:r w:rsidRPr="00BE4578">
              <w:rPr>
                <w:sz w:val="18"/>
                <w:szCs w:val="18"/>
              </w:rPr>
              <w:t>19.182.194</w:t>
            </w:r>
          </w:p>
        </w:tc>
        <w:tc>
          <w:tcPr>
            <w:tcW w:w="380" w:type="pct"/>
            <w:vAlign w:val="center"/>
            <w:hideMark/>
          </w:tcPr>
          <w:p w:rsidR="00BE4578" w:rsidRPr="00BE4578" w:rsidRDefault="00BE4578" w:rsidP="007F3400">
            <w:pPr>
              <w:jc w:val="right"/>
              <w:rPr>
                <w:sz w:val="18"/>
                <w:szCs w:val="18"/>
              </w:rPr>
            </w:pPr>
            <w:r w:rsidRPr="00BE4578">
              <w:rPr>
                <w:sz w:val="18"/>
                <w:szCs w:val="18"/>
              </w:rPr>
              <w:t>0</w:t>
            </w:r>
          </w:p>
        </w:tc>
        <w:tc>
          <w:tcPr>
            <w:tcW w:w="380" w:type="pct"/>
            <w:vAlign w:val="center"/>
            <w:hideMark/>
          </w:tcPr>
          <w:p w:rsidR="00BE4578" w:rsidRPr="00BE4578" w:rsidRDefault="00BE4578" w:rsidP="007F3400">
            <w:pPr>
              <w:jc w:val="right"/>
              <w:rPr>
                <w:sz w:val="18"/>
                <w:szCs w:val="18"/>
              </w:rPr>
            </w:pPr>
            <w:r w:rsidRPr="00BE4578">
              <w:rPr>
                <w:sz w:val="18"/>
                <w:szCs w:val="18"/>
              </w:rPr>
              <w:t>-141</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311.160</w:t>
            </w:r>
          </w:p>
        </w:tc>
        <w:tc>
          <w:tcPr>
            <w:tcW w:w="380" w:type="pct"/>
            <w:vAlign w:val="center"/>
            <w:hideMark/>
          </w:tcPr>
          <w:p w:rsidR="00BE4578" w:rsidRPr="00BE4578" w:rsidRDefault="00BE4578" w:rsidP="007F3400">
            <w:pPr>
              <w:jc w:val="right"/>
              <w:rPr>
                <w:sz w:val="18"/>
                <w:szCs w:val="18"/>
              </w:rPr>
            </w:pPr>
            <w:r w:rsidRPr="00BE4578">
              <w:rPr>
                <w:sz w:val="18"/>
                <w:szCs w:val="18"/>
              </w:rPr>
              <w:t>214.963</w:t>
            </w:r>
          </w:p>
        </w:tc>
      </w:tr>
      <w:tr w:rsidR="00BE4578" w:rsidRPr="008F791A" w:rsidTr="007F3400">
        <w:trPr>
          <w:trHeight w:val="301"/>
        </w:trPr>
        <w:tc>
          <w:tcPr>
            <w:tcW w:w="387" w:type="pct"/>
            <w:vAlign w:val="center"/>
            <w:hideMark/>
          </w:tcPr>
          <w:p w:rsidR="00BE4578" w:rsidRPr="00BE4578" w:rsidRDefault="008B3908" w:rsidP="007F3400">
            <w:pPr>
              <w:rPr>
                <w:b/>
                <w:sz w:val="18"/>
                <w:szCs w:val="18"/>
              </w:rPr>
            </w:pPr>
            <w:r>
              <w:rPr>
                <w:b/>
                <w:sz w:val="18"/>
                <w:szCs w:val="18"/>
              </w:rPr>
              <w:t>Çin</w:t>
            </w:r>
          </w:p>
        </w:tc>
        <w:tc>
          <w:tcPr>
            <w:tcW w:w="431"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224.000</w:t>
            </w:r>
          </w:p>
        </w:tc>
        <w:tc>
          <w:tcPr>
            <w:tcW w:w="380" w:type="pct"/>
            <w:vAlign w:val="center"/>
            <w:hideMark/>
          </w:tcPr>
          <w:p w:rsidR="00BE4578" w:rsidRPr="00BE4578" w:rsidRDefault="00BE4578" w:rsidP="007F3400">
            <w:pPr>
              <w:jc w:val="right"/>
              <w:rPr>
                <w:sz w:val="18"/>
                <w:szCs w:val="18"/>
              </w:rPr>
            </w:pPr>
            <w:r w:rsidRPr="00BE4578">
              <w:rPr>
                <w:sz w:val="18"/>
                <w:szCs w:val="18"/>
              </w:rPr>
              <w:t>63.680</w:t>
            </w:r>
          </w:p>
        </w:tc>
      </w:tr>
      <w:tr w:rsidR="00BE4578" w:rsidRPr="008F791A" w:rsidTr="007F3400">
        <w:trPr>
          <w:trHeight w:val="301"/>
        </w:trPr>
        <w:tc>
          <w:tcPr>
            <w:tcW w:w="387" w:type="pct"/>
            <w:vAlign w:val="center"/>
            <w:hideMark/>
          </w:tcPr>
          <w:p w:rsidR="00BE4578" w:rsidRPr="00BE4578" w:rsidRDefault="00BE4578" w:rsidP="007F3400">
            <w:pPr>
              <w:rPr>
                <w:b/>
                <w:sz w:val="18"/>
                <w:szCs w:val="18"/>
              </w:rPr>
            </w:pPr>
            <w:r w:rsidRPr="00BE4578">
              <w:rPr>
                <w:b/>
                <w:sz w:val="18"/>
                <w:szCs w:val="18"/>
              </w:rPr>
              <w:t>İtalya</w:t>
            </w:r>
          </w:p>
        </w:tc>
        <w:tc>
          <w:tcPr>
            <w:tcW w:w="431"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22.000</w:t>
            </w:r>
          </w:p>
        </w:tc>
        <w:tc>
          <w:tcPr>
            <w:tcW w:w="380" w:type="pct"/>
            <w:vAlign w:val="center"/>
            <w:hideMark/>
          </w:tcPr>
          <w:p w:rsidR="00BE4578" w:rsidRPr="00BE4578" w:rsidRDefault="00BE4578" w:rsidP="007F3400">
            <w:pPr>
              <w:jc w:val="right"/>
              <w:rPr>
                <w:sz w:val="18"/>
                <w:szCs w:val="18"/>
              </w:rPr>
            </w:pPr>
            <w:r w:rsidRPr="00BE4578">
              <w:rPr>
                <w:sz w:val="18"/>
                <w:szCs w:val="18"/>
              </w:rPr>
              <w:t>28.374</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115.342</w:t>
            </w:r>
          </w:p>
        </w:tc>
        <w:tc>
          <w:tcPr>
            <w:tcW w:w="380" w:type="pct"/>
            <w:vAlign w:val="center"/>
            <w:hideMark/>
          </w:tcPr>
          <w:p w:rsidR="00BE4578" w:rsidRPr="00BE4578" w:rsidRDefault="00BE4578" w:rsidP="007F3400">
            <w:pPr>
              <w:jc w:val="right"/>
              <w:rPr>
                <w:sz w:val="18"/>
                <w:szCs w:val="18"/>
              </w:rPr>
            </w:pPr>
            <w:r w:rsidRPr="00BE4578">
              <w:rPr>
                <w:sz w:val="18"/>
                <w:szCs w:val="18"/>
              </w:rPr>
              <w:t>67.867</w:t>
            </w:r>
          </w:p>
        </w:tc>
      </w:tr>
      <w:tr w:rsidR="00BE4578" w:rsidRPr="008F791A" w:rsidTr="007F3400">
        <w:trPr>
          <w:trHeight w:val="301"/>
        </w:trPr>
        <w:tc>
          <w:tcPr>
            <w:tcW w:w="387" w:type="pct"/>
            <w:vAlign w:val="center"/>
            <w:hideMark/>
          </w:tcPr>
          <w:p w:rsidR="00BE4578" w:rsidRPr="00BE4578" w:rsidRDefault="00BE4578" w:rsidP="007F3400">
            <w:pPr>
              <w:rPr>
                <w:b/>
                <w:sz w:val="18"/>
                <w:szCs w:val="18"/>
              </w:rPr>
            </w:pPr>
            <w:r w:rsidRPr="00BE4578">
              <w:rPr>
                <w:b/>
                <w:sz w:val="18"/>
                <w:szCs w:val="18"/>
              </w:rPr>
              <w:t>Fransa</w:t>
            </w:r>
          </w:p>
        </w:tc>
        <w:tc>
          <w:tcPr>
            <w:tcW w:w="431"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10.000</w:t>
            </w:r>
          </w:p>
        </w:tc>
        <w:tc>
          <w:tcPr>
            <w:tcW w:w="380" w:type="pct"/>
            <w:vAlign w:val="center"/>
            <w:hideMark/>
          </w:tcPr>
          <w:p w:rsidR="00BE4578" w:rsidRPr="00BE4578" w:rsidRDefault="00BE4578" w:rsidP="007F3400">
            <w:pPr>
              <w:jc w:val="right"/>
              <w:rPr>
                <w:sz w:val="18"/>
                <w:szCs w:val="18"/>
              </w:rPr>
            </w:pPr>
            <w:r w:rsidRPr="00BE4578">
              <w:rPr>
                <w:sz w:val="18"/>
                <w:szCs w:val="18"/>
              </w:rPr>
              <w:t>7.858</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50.695</w:t>
            </w:r>
          </w:p>
        </w:tc>
        <w:tc>
          <w:tcPr>
            <w:tcW w:w="380" w:type="pct"/>
            <w:vAlign w:val="center"/>
            <w:hideMark/>
          </w:tcPr>
          <w:p w:rsidR="00BE4578" w:rsidRPr="00BE4578" w:rsidRDefault="00BE4578" w:rsidP="007F3400">
            <w:pPr>
              <w:jc w:val="right"/>
              <w:rPr>
                <w:sz w:val="18"/>
                <w:szCs w:val="18"/>
              </w:rPr>
            </w:pPr>
            <w:r w:rsidRPr="00BE4578">
              <w:rPr>
                <w:sz w:val="18"/>
                <w:szCs w:val="18"/>
              </w:rPr>
              <w:t>68.736</w:t>
            </w:r>
          </w:p>
        </w:tc>
      </w:tr>
      <w:tr w:rsidR="00BE4578" w:rsidRPr="008F791A" w:rsidTr="007F3400">
        <w:trPr>
          <w:trHeight w:val="301"/>
        </w:trPr>
        <w:tc>
          <w:tcPr>
            <w:tcW w:w="387" w:type="pct"/>
            <w:vAlign w:val="center"/>
            <w:hideMark/>
          </w:tcPr>
          <w:p w:rsidR="00BE4578" w:rsidRPr="00BE4578" w:rsidRDefault="00BE4578" w:rsidP="007F3400">
            <w:pPr>
              <w:rPr>
                <w:b/>
                <w:sz w:val="18"/>
                <w:szCs w:val="18"/>
              </w:rPr>
            </w:pPr>
            <w:r w:rsidRPr="00BE4578">
              <w:rPr>
                <w:b/>
                <w:sz w:val="18"/>
                <w:szCs w:val="18"/>
              </w:rPr>
              <w:t>Hindistan</w:t>
            </w:r>
          </w:p>
        </w:tc>
        <w:tc>
          <w:tcPr>
            <w:tcW w:w="431"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75.000</w:t>
            </w:r>
          </w:p>
        </w:tc>
        <w:tc>
          <w:tcPr>
            <w:tcW w:w="380" w:type="pct"/>
            <w:vAlign w:val="center"/>
            <w:hideMark/>
          </w:tcPr>
          <w:p w:rsidR="00BE4578" w:rsidRPr="00BE4578" w:rsidRDefault="00BE4578" w:rsidP="007F3400">
            <w:pPr>
              <w:jc w:val="right"/>
              <w:rPr>
                <w:sz w:val="18"/>
                <w:szCs w:val="18"/>
              </w:rPr>
            </w:pPr>
            <w:r w:rsidRPr="00BE4578">
              <w:rPr>
                <w:sz w:val="18"/>
                <w:szCs w:val="18"/>
              </w:rPr>
              <w:t>51.000</w:t>
            </w:r>
          </w:p>
        </w:tc>
        <w:tc>
          <w:tcPr>
            <w:tcW w:w="380" w:type="pct"/>
            <w:vAlign w:val="center"/>
            <w:hideMark/>
          </w:tcPr>
          <w:p w:rsidR="00BE4578" w:rsidRPr="00BE4578" w:rsidRDefault="00BE4578" w:rsidP="007F3400">
            <w:pPr>
              <w:jc w:val="right"/>
              <w:rPr>
                <w:sz w:val="18"/>
                <w:szCs w:val="18"/>
              </w:rPr>
            </w:pPr>
            <w:r w:rsidRPr="00BE4578">
              <w:rPr>
                <w:sz w:val="18"/>
                <w:szCs w:val="18"/>
              </w:rPr>
              <w:t>32.000</w:t>
            </w:r>
          </w:p>
        </w:tc>
        <w:tc>
          <w:tcPr>
            <w:tcW w:w="380" w:type="pct"/>
            <w:vAlign w:val="center"/>
            <w:hideMark/>
          </w:tcPr>
          <w:p w:rsidR="00BE4578" w:rsidRPr="00BE4578" w:rsidRDefault="00BE4578" w:rsidP="007F3400">
            <w:pPr>
              <w:jc w:val="right"/>
              <w:rPr>
                <w:sz w:val="18"/>
                <w:szCs w:val="18"/>
              </w:rPr>
            </w:pPr>
            <w:r w:rsidRPr="00BE4578">
              <w:rPr>
                <w:sz w:val="18"/>
                <w:szCs w:val="18"/>
              </w:rPr>
              <w:t>15.040</w:t>
            </w:r>
          </w:p>
        </w:tc>
      </w:tr>
      <w:tr w:rsidR="00BE4578" w:rsidRPr="008F791A" w:rsidTr="007F3400">
        <w:trPr>
          <w:trHeight w:val="301"/>
        </w:trPr>
        <w:tc>
          <w:tcPr>
            <w:tcW w:w="387" w:type="pct"/>
            <w:vAlign w:val="center"/>
            <w:hideMark/>
          </w:tcPr>
          <w:p w:rsidR="00BE4578" w:rsidRPr="00BE4578" w:rsidRDefault="00BE4578" w:rsidP="007F3400">
            <w:pPr>
              <w:rPr>
                <w:b/>
                <w:sz w:val="18"/>
                <w:szCs w:val="18"/>
              </w:rPr>
            </w:pPr>
            <w:r w:rsidRPr="00BE4578">
              <w:rPr>
                <w:b/>
                <w:sz w:val="18"/>
                <w:szCs w:val="18"/>
              </w:rPr>
              <w:t>S. Arabistan</w:t>
            </w:r>
          </w:p>
        </w:tc>
        <w:tc>
          <w:tcPr>
            <w:tcW w:w="431" w:type="pct"/>
            <w:vAlign w:val="center"/>
            <w:hideMark/>
          </w:tcPr>
          <w:p w:rsidR="00BE4578" w:rsidRPr="00BE4578" w:rsidRDefault="00BE4578" w:rsidP="007F3400">
            <w:pPr>
              <w:jc w:val="right"/>
              <w:rPr>
                <w:sz w:val="18"/>
                <w:szCs w:val="18"/>
              </w:rPr>
            </w:pPr>
            <w:r w:rsidRPr="00BE4578">
              <w:rPr>
                <w:sz w:val="18"/>
                <w:szCs w:val="18"/>
              </w:rPr>
              <w:t>32.537.350</w:t>
            </w:r>
          </w:p>
        </w:tc>
        <w:tc>
          <w:tcPr>
            <w:tcW w:w="380" w:type="pct"/>
            <w:vAlign w:val="center"/>
            <w:hideMark/>
          </w:tcPr>
          <w:p w:rsidR="00BE4578" w:rsidRPr="00BE4578" w:rsidRDefault="00BE4578" w:rsidP="007F3400">
            <w:pPr>
              <w:jc w:val="right"/>
              <w:rPr>
                <w:sz w:val="18"/>
                <w:szCs w:val="18"/>
              </w:rPr>
            </w:pPr>
            <w:r w:rsidRPr="00BE4578">
              <w:rPr>
                <w:sz w:val="18"/>
                <w:szCs w:val="18"/>
              </w:rPr>
              <w:t>33.665.671</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24.810</w:t>
            </w:r>
          </w:p>
        </w:tc>
        <w:tc>
          <w:tcPr>
            <w:tcW w:w="380" w:type="pct"/>
            <w:vAlign w:val="center"/>
            <w:hideMark/>
          </w:tcPr>
          <w:p w:rsidR="00BE4578" w:rsidRPr="00BE4578" w:rsidRDefault="00BE4578" w:rsidP="007F3400">
            <w:pPr>
              <w:jc w:val="right"/>
              <w:rPr>
                <w:sz w:val="18"/>
                <w:szCs w:val="18"/>
              </w:rPr>
            </w:pPr>
            <w:r w:rsidRPr="00BE4578">
              <w:rPr>
                <w:sz w:val="18"/>
                <w:szCs w:val="18"/>
              </w:rPr>
              <w:t>19.352</w:t>
            </w:r>
          </w:p>
        </w:tc>
      </w:tr>
      <w:tr w:rsidR="00BE4578" w:rsidRPr="008F791A" w:rsidTr="007F3400">
        <w:trPr>
          <w:trHeight w:val="301"/>
        </w:trPr>
        <w:tc>
          <w:tcPr>
            <w:tcW w:w="387" w:type="pct"/>
            <w:vAlign w:val="center"/>
            <w:hideMark/>
          </w:tcPr>
          <w:p w:rsidR="00BE4578" w:rsidRPr="00BE4578" w:rsidRDefault="00BE4578" w:rsidP="007F3400">
            <w:pPr>
              <w:rPr>
                <w:b/>
                <w:sz w:val="18"/>
                <w:szCs w:val="18"/>
              </w:rPr>
            </w:pPr>
            <w:r w:rsidRPr="00BE4578">
              <w:rPr>
                <w:b/>
                <w:sz w:val="18"/>
                <w:szCs w:val="18"/>
              </w:rPr>
              <w:t>Almanya</w:t>
            </w:r>
          </w:p>
        </w:tc>
        <w:tc>
          <w:tcPr>
            <w:tcW w:w="431"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203</w:t>
            </w:r>
          </w:p>
        </w:tc>
        <w:tc>
          <w:tcPr>
            <w:tcW w:w="380" w:type="pct"/>
            <w:vAlign w:val="center"/>
            <w:hideMark/>
          </w:tcPr>
          <w:p w:rsidR="00BE4578" w:rsidRPr="00BE4578" w:rsidRDefault="00BE4578" w:rsidP="007F3400">
            <w:pPr>
              <w:jc w:val="right"/>
              <w:rPr>
                <w:sz w:val="18"/>
                <w:szCs w:val="18"/>
              </w:rPr>
            </w:pPr>
            <w:r w:rsidRPr="00BE4578">
              <w:rPr>
                <w:sz w:val="18"/>
                <w:szCs w:val="18"/>
              </w:rPr>
              <w:t>808</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113</w:t>
            </w:r>
          </w:p>
        </w:tc>
        <w:tc>
          <w:tcPr>
            <w:tcW w:w="380" w:type="pct"/>
            <w:vAlign w:val="center"/>
            <w:hideMark/>
          </w:tcPr>
          <w:p w:rsidR="00BE4578" w:rsidRPr="00BE4578" w:rsidRDefault="00BE4578" w:rsidP="007F3400">
            <w:pPr>
              <w:jc w:val="right"/>
              <w:rPr>
                <w:sz w:val="18"/>
                <w:szCs w:val="18"/>
              </w:rPr>
            </w:pPr>
            <w:r w:rsidRPr="00BE4578">
              <w:rPr>
                <w:sz w:val="18"/>
                <w:szCs w:val="18"/>
              </w:rPr>
              <w:t>142</w:t>
            </w:r>
          </w:p>
        </w:tc>
      </w:tr>
      <w:tr w:rsidR="00BE4578" w:rsidRPr="008F791A" w:rsidTr="007F3400">
        <w:trPr>
          <w:trHeight w:val="301"/>
        </w:trPr>
        <w:tc>
          <w:tcPr>
            <w:tcW w:w="387" w:type="pct"/>
            <w:vAlign w:val="center"/>
            <w:hideMark/>
          </w:tcPr>
          <w:p w:rsidR="00BE4578" w:rsidRPr="00BE4578" w:rsidRDefault="00BE4578" w:rsidP="007F3400">
            <w:pPr>
              <w:rPr>
                <w:b/>
                <w:sz w:val="18"/>
                <w:szCs w:val="18"/>
              </w:rPr>
            </w:pPr>
            <w:r w:rsidRPr="00BE4578">
              <w:rPr>
                <w:b/>
                <w:sz w:val="18"/>
                <w:szCs w:val="18"/>
              </w:rPr>
              <w:t>B.A.E.</w:t>
            </w:r>
          </w:p>
        </w:tc>
        <w:tc>
          <w:tcPr>
            <w:tcW w:w="431"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200.000</w:t>
            </w:r>
          </w:p>
        </w:tc>
        <w:tc>
          <w:tcPr>
            <w:tcW w:w="380" w:type="pct"/>
            <w:vAlign w:val="center"/>
            <w:hideMark/>
          </w:tcPr>
          <w:p w:rsidR="00BE4578" w:rsidRPr="00BE4578" w:rsidRDefault="00BE4578" w:rsidP="007F3400">
            <w:pPr>
              <w:jc w:val="right"/>
              <w:rPr>
                <w:sz w:val="18"/>
                <w:szCs w:val="18"/>
              </w:rPr>
            </w:pPr>
            <w:r w:rsidRPr="00BE4578">
              <w:rPr>
                <w:sz w:val="18"/>
                <w:szCs w:val="18"/>
              </w:rPr>
              <w:t>275.000</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r>
      <w:tr w:rsidR="00BE4578" w:rsidRPr="008F791A" w:rsidTr="007F3400">
        <w:trPr>
          <w:trHeight w:val="301"/>
        </w:trPr>
        <w:tc>
          <w:tcPr>
            <w:tcW w:w="387" w:type="pct"/>
            <w:vAlign w:val="center"/>
            <w:hideMark/>
          </w:tcPr>
          <w:p w:rsidR="00BE4578" w:rsidRPr="00BE4578" w:rsidRDefault="00BE4578" w:rsidP="007F3400">
            <w:pPr>
              <w:rPr>
                <w:b/>
                <w:sz w:val="18"/>
                <w:szCs w:val="18"/>
              </w:rPr>
            </w:pPr>
            <w:r w:rsidRPr="00BE4578">
              <w:rPr>
                <w:b/>
                <w:sz w:val="18"/>
                <w:szCs w:val="18"/>
              </w:rPr>
              <w:t>Endonezya</w:t>
            </w:r>
          </w:p>
        </w:tc>
        <w:tc>
          <w:tcPr>
            <w:tcW w:w="431" w:type="pct"/>
            <w:vAlign w:val="center"/>
            <w:hideMark/>
          </w:tcPr>
          <w:p w:rsidR="00BE4578" w:rsidRPr="00BE4578" w:rsidRDefault="00BE4578" w:rsidP="007F3400">
            <w:pPr>
              <w:jc w:val="right"/>
              <w:rPr>
                <w:sz w:val="18"/>
                <w:szCs w:val="18"/>
              </w:rPr>
            </w:pPr>
            <w:r w:rsidRPr="00BE4578">
              <w:rPr>
                <w:sz w:val="18"/>
                <w:szCs w:val="18"/>
              </w:rPr>
              <w:t>2.024.000</w:t>
            </w:r>
          </w:p>
        </w:tc>
        <w:tc>
          <w:tcPr>
            <w:tcW w:w="380" w:type="pct"/>
            <w:vAlign w:val="center"/>
            <w:hideMark/>
          </w:tcPr>
          <w:p w:rsidR="00BE4578" w:rsidRPr="00BE4578" w:rsidRDefault="00BE4578" w:rsidP="007F3400">
            <w:pPr>
              <w:jc w:val="right"/>
              <w:rPr>
                <w:sz w:val="18"/>
                <w:szCs w:val="18"/>
              </w:rPr>
            </w:pPr>
            <w:r w:rsidRPr="00BE4578">
              <w:rPr>
                <w:sz w:val="18"/>
                <w:szCs w:val="18"/>
              </w:rPr>
              <w:t>2.681.800</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r>
      <w:tr w:rsidR="00BE4578" w:rsidRPr="008F791A" w:rsidTr="007F3400">
        <w:trPr>
          <w:trHeight w:val="301"/>
        </w:trPr>
        <w:tc>
          <w:tcPr>
            <w:tcW w:w="387" w:type="pct"/>
            <w:vAlign w:val="center"/>
            <w:hideMark/>
          </w:tcPr>
          <w:p w:rsidR="00BE4578" w:rsidRPr="00BE4578" w:rsidRDefault="00BE4578" w:rsidP="007F3400">
            <w:pPr>
              <w:rPr>
                <w:b/>
                <w:sz w:val="18"/>
                <w:szCs w:val="18"/>
              </w:rPr>
            </w:pPr>
            <w:r w:rsidRPr="00BE4578">
              <w:rPr>
                <w:b/>
                <w:sz w:val="18"/>
                <w:szCs w:val="18"/>
              </w:rPr>
              <w:t>Japonya</w:t>
            </w:r>
          </w:p>
        </w:tc>
        <w:tc>
          <w:tcPr>
            <w:tcW w:w="431" w:type="pct"/>
            <w:vAlign w:val="center"/>
            <w:hideMark/>
          </w:tcPr>
          <w:p w:rsidR="00BE4578" w:rsidRPr="00BE4578" w:rsidRDefault="00BE4578" w:rsidP="007F3400">
            <w:pPr>
              <w:jc w:val="right"/>
              <w:rPr>
                <w:sz w:val="18"/>
                <w:szCs w:val="18"/>
              </w:rPr>
            </w:pPr>
            <w:r w:rsidRPr="00BE4578">
              <w:rPr>
                <w:sz w:val="18"/>
                <w:szCs w:val="18"/>
              </w:rPr>
              <w:t>1.830</w:t>
            </w:r>
          </w:p>
        </w:tc>
        <w:tc>
          <w:tcPr>
            <w:tcW w:w="380" w:type="pct"/>
            <w:vAlign w:val="center"/>
            <w:hideMark/>
          </w:tcPr>
          <w:p w:rsidR="00BE4578" w:rsidRPr="00BE4578" w:rsidRDefault="00BE4578" w:rsidP="007F3400">
            <w:pPr>
              <w:jc w:val="right"/>
              <w:rPr>
                <w:sz w:val="18"/>
                <w:szCs w:val="18"/>
              </w:rPr>
            </w:pPr>
            <w:r w:rsidRPr="00BE4578">
              <w:rPr>
                <w:sz w:val="18"/>
                <w:szCs w:val="18"/>
              </w:rPr>
              <w:t>1.000</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r>
      <w:tr w:rsidR="00BE4578" w:rsidRPr="008F791A" w:rsidTr="007F3400">
        <w:trPr>
          <w:trHeight w:val="301"/>
        </w:trPr>
        <w:tc>
          <w:tcPr>
            <w:tcW w:w="387" w:type="pct"/>
            <w:vAlign w:val="center"/>
            <w:hideMark/>
          </w:tcPr>
          <w:p w:rsidR="00BE4578" w:rsidRPr="00BE4578" w:rsidRDefault="00BE4578" w:rsidP="007F3400">
            <w:pPr>
              <w:rPr>
                <w:b/>
                <w:sz w:val="18"/>
                <w:szCs w:val="18"/>
              </w:rPr>
            </w:pPr>
            <w:r w:rsidRPr="00BE4578">
              <w:rPr>
                <w:b/>
                <w:sz w:val="18"/>
                <w:szCs w:val="18"/>
              </w:rPr>
              <w:t>Kanada</w:t>
            </w:r>
          </w:p>
        </w:tc>
        <w:tc>
          <w:tcPr>
            <w:tcW w:w="431"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6.419.300</w:t>
            </w:r>
          </w:p>
        </w:tc>
        <w:tc>
          <w:tcPr>
            <w:tcW w:w="380" w:type="pct"/>
            <w:vAlign w:val="center"/>
            <w:hideMark/>
          </w:tcPr>
          <w:p w:rsidR="00BE4578" w:rsidRPr="00BE4578" w:rsidRDefault="00BE4578" w:rsidP="007F3400">
            <w:pPr>
              <w:jc w:val="right"/>
              <w:rPr>
                <w:sz w:val="18"/>
                <w:szCs w:val="18"/>
              </w:rPr>
            </w:pPr>
            <w:r w:rsidRPr="00BE4578">
              <w:rPr>
                <w:sz w:val="18"/>
                <w:szCs w:val="18"/>
              </w:rPr>
              <w:t>5.609.355</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r>
      <w:tr w:rsidR="00BE4578" w:rsidRPr="008F791A" w:rsidTr="007F3400">
        <w:trPr>
          <w:trHeight w:val="301"/>
        </w:trPr>
        <w:tc>
          <w:tcPr>
            <w:tcW w:w="387" w:type="pct"/>
            <w:vAlign w:val="center"/>
            <w:hideMark/>
          </w:tcPr>
          <w:p w:rsidR="00BE4578" w:rsidRPr="00BE4578" w:rsidRDefault="00BE4578" w:rsidP="007F3400">
            <w:pPr>
              <w:rPr>
                <w:b/>
                <w:sz w:val="18"/>
                <w:szCs w:val="18"/>
              </w:rPr>
            </w:pPr>
            <w:r w:rsidRPr="00BE4578">
              <w:rPr>
                <w:b/>
                <w:sz w:val="18"/>
                <w:szCs w:val="18"/>
              </w:rPr>
              <w:t>Tayvan</w:t>
            </w:r>
          </w:p>
        </w:tc>
        <w:tc>
          <w:tcPr>
            <w:tcW w:w="431"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1.000.880</w:t>
            </w:r>
          </w:p>
        </w:tc>
        <w:tc>
          <w:tcPr>
            <w:tcW w:w="380" w:type="pct"/>
            <w:vAlign w:val="center"/>
            <w:hideMark/>
          </w:tcPr>
          <w:p w:rsidR="00BE4578" w:rsidRPr="00BE4578" w:rsidRDefault="00BE4578" w:rsidP="007F3400">
            <w:pPr>
              <w:jc w:val="right"/>
              <w:rPr>
                <w:sz w:val="18"/>
                <w:szCs w:val="18"/>
              </w:rPr>
            </w:pPr>
            <w:r w:rsidRPr="00BE4578">
              <w:rPr>
                <w:sz w:val="18"/>
                <w:szCs w:val="18"/>
              </w:rPr>
              <w:t>980.862</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7.070.780</w:t>
            </w:r>
          </w:p>
        </w:tc>
        <w:tc>
          <w:tcPr>
            <w:tcW w:w="380" w:type="pct"/>
            <w:vAlign w:val="center"/>
            <w:hideMark/>
          </w:tcPr>
          <w:p w:rsidR="00BE4578" w:rsidRPr="00BE4578" w:rsidRDefault="00BE4578" w:rsidP="007F3400">
            <w:pPr>
              <w:jc w:val="right"/>
              <w:rPr>
                <w:sz w:val="18"/>
                <w:szCs w:val="18"/>
              </w:rPr>
            </w:pPr>
            <w:r w:rsidRPr="00BE4578">
              <w:rPr>
                <w:sz w:val="18"/>
                <w:szCs w:val="18"/>
              </w:rPr>
              <w:t>11.378.227</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c>
          <w:tcPr>
            <w:tcW w:w="380" w:type="pct"/>
            <w:vAlign w:val="center"/>
            <w:hideMark/>
          </w:tcPr>
          <w:p w:rsidR="00BE4578" w:rsidRPr="00BE4578" w:rsidRDefault="00BE4578" w:rsidP="007F3400">
            <w:pPr>
              <w:jc w:val="right"/>
              <w:rPr>
                <w:sz w:val="18"/>
                <w:szCs w:val="18"/>
              </w:rPr>
            </w:pPr>
            <w:r w:rsidRPr="00BE4578">
              <w:rPr>
                <w:sz w:val="18"/>
                <w:szCs w:val="18"/>
              </w:rPr>
              <w:t> </w:t>
            </w:r>
          </w:p>
        </w:tc>
      </w:tr>
      <w:tr w:rsidR="00BE4578" w:rsidRPr="008F791A" w:rsidTr="007F3400">
        <w:trPr>
          <w:trHeight w:val="301"/>
        </w:trPr>
        <w:tc>
          <w:tcPr>
            <w:tcW w:w="387" w:type="pct"/>
            <w:noWrap/>
            <w:vAlign w:val="center"/>
            <w:hideMark/>
          </w:tcPr>
          <w:p w:rsidR="00BE4578" w:rsidRPr="00BE4578" w:rsidRDefault="00BE4578" w:rsidP="007F3400">
            <w:pPr>
              <w:rPr>
                <w:b/>
                <w:sz w:val="18"/>
                <w:szCs w:val="18"/>
              </w:rPr>
            </w:pPr>
            <w:r w:rsidRPr="00BE4578">
              <w:rPr>
                <w:b/>
                <w:sz w:val="18"/>
                <w:szCs w:val="18"/>
              </w:rPr>
              <w:t>Toplam</w:t>
            </w:r>
          </w:p>
        </w:tc>
        <w:tc>
          <w:tcPr>
            <w:tcW w:w="431" w:type="pct"/>
            <w:noWrap/>
            <w:vAlign w:val="center"/>
            <w:hideMark/>
          </w:tcPr>
          <w:p w:rsidR="00BE4578" w:rsidRPr="00BE4578" w:rsidRDefault="00BE4578" w:rsidP="007F3400">
            <w:pPr>
              <w:jc w:val="right"/>
              <w:rPr>
                <w:b/>
                <w:sz w:val="18"/>
                <w:szCs w:val="18"/>
              </w:rPr>
            </w:pPr>
            <w:r w:rsidRPr="00BE4578">
              <w:rPr>
                <w:b/>
                <w:sz w:val="18"/>
                <w:szCs w:val="18"/>
              </w:rPr>
              <w:t>143.769.316</w:t>
            </w:r>
          </w:p>
        </w:tc>
        <w:tc>
          <w:tcPr>
            <w:tcW w:w="380" w:type="pct"/>
            <w:noWrap/>
            <w:vAlign w:val="center"/>
            <w:hideMark/>
          </w:tcPr>
          <w:p w:rsidR="00BE4578" w:rsidRPr="00BE4578" w:rsidRDefault="00BE4578" w:rsidP="007F3400">
            <w:pPr>
              <w:jc w:val="right"/>
              <w:rPr>
                <w:b/>
                <w:sz w:val="18"/>
                <w:szCs w:val="18"/>
              </w:rPr>
            </w:pPr>
            <w:r w:rsidRPr="00BE4578">
              <w:rPr>
                <w:b/>
                <w:sz w:val="18"/>
                <w:szCs w:val="18"/>
              </w:rPr>
              <w:t>154.271.664</w:t>
            </w:r>
          </w:p>
        </w:tc>
        <w:tc>
          <w:tcPr>
            <w:tcW w:w="380" w:type="pct"/>
            <w:noWrap/>
            <w:vAlign w:val="center"/>
            <w:hideMark/>
          </w:tcPr>
          <w:p w:rsidR="00BE4578" w:rsidRPr="00BE4578" w:rsidRDefault="00BE4578" w:rsidP="007F3400">
            <w:pPr>
              <w:jc w:val="right"/>
              <w:rPr>
                <w:b/>
                <w:sz w:val="18"/>
                <w:szCs w:val="18"/>
              </w:rPr>
            </w:pPr>
            <w:r w:rsidRPr="00BE4578">
              <w:rPr>
                <w:b/>
                <w:sz w:val="18"/>
                <w:szCs w:val="18"/>
              </w:rPr>
              <w:t>161.386.610</w:t>
            </w:r>
          </w:p>
        </w:tc>
        <w:tc>
          <w:tcPr>
            <w:tcW w:w="380" w:type="pct"/>
            <w:noWrap/>
            <w:vAlign w:val="center"/>
            <w:hideMark/>
          </w:tcPr>
          <w:p w:rsidR="00BE4578" w:rsidRPr="00BE4578" w:rsidRDefault="00BE4578" w:rsidP="007F3400">
            <w:pPr>
              <w:jc w:val="right"/>
              <w:rPr>
                <w:b/>
                <w:sz w:val="18"/>
                <w:szCs w:val="18"/>
              </w:rPr>
            </w:pPr>
            <w:r w:rsidRPr="00BE4578">
              <w:rPr>
                <w:b/>
                <w:sz w:val="18"/>
                <w:szCs w:val="18"/>
              </w:rPr>
              <w:t>137.295.870</w:t>
            </w:r>
          </w:p>
        </w:tc>
        <w:tc>
          <w:tcPr>
            <w:tcW w:w="380" w:type="pct"/>
            <w:noWrap/>
            <w:vAlign w:val="center"/>
            <w:hideMark/>
          </w:tcPr>
          <w:p w:rsidR="00BE4578" w:rsidRPr="00BE4578" w:rsidRDefault="00BE4578" w:rsidP="007F3400">
            <w:pPr>
              <w:jc w:val="right"/>
              <w:rPr>
                <w:b/>
                <w:sz w:val="18"/>
                <w:szCs w:val="18"/>
              </w:rPr>
            </w:pPr>
            <w:r w:rsidRPr="00BE4578">
              <w:rPr>
                <w:b/>
                <w:sz w:val="18"/>
                <w:szCs w:val="18"/>
              </w:rPr>
              <w:t>166.752.103</w:t>
            </w:r>
          </w:p>
        </w:tc>
        <w:tc>
          <w:tcPr>
            <w:tcW w:w="380" w:type="pct"/>
            <w:noWrap/>
            <w:vAlign w:val="center"/>
            <w:hideMark/>
          </w:tcPr>
          <w:p w:rsidR="00BE4578" w:rsidRPr="00BE4578" w:rsidRDefault="00BE4578" w:rsidP="007F3400">
            <w:pPr>
              <w:jc w:val="right"/>
              <w:rPr>
                <w:b/>
                <w:sz w:val="18"/>
                <w:szCs w:val="18"/>
              </w:rPr>
            </w:pPr>
            <w:r w:rsidRPr="00BE4578">
              <w:rPr>
                <w:b/>
                <w:sz w:val="18"/>
                <w:szCs w:val="18"/>
              </w:rPr>
              <w:t>163.868.700</w:t>
            </w:r>
          </w:p>
        </w:tc>
        <w:tc>
          <w:tcPr>
            <w:tcW w:w="380" w:type="pct"/>
            <w:noWrap/>
            <w:vAlign w:val="center"/>
            <w:hideMark/>
          </w:tcPr>
          <w:p w:rsidR="00BE4578" w:rsidRPr="00BE4578" w:rsidRDefault="00BE4578" w:rsidP="007F3400">
            <w:pPr>
              <w:jc w:val="right"/>
              <w:rPr>
                <w:b/>
                <w:sz w:val="18"/>
                <w:szCs w:val="18"/>
              </w:rPr>
            </w:pPr>
            <w:r w:rsidRPr="00BE4578">
              <w:rPr>
                <w:b/>
                <w:sz w:val="18"/>
                <w:szCs w:val="18"/>
              </w:rPr>
              <w:t>177.169.000</w:t>
            </w:r>
          </w:p>
        </w:tc>
        <w:tc>
          <w:tcPr>
            <w:tcW w:w="380" w:type="pct"/>
            <w:noWrap/>
            <w:vAlign w:val="center"/>
            <w:hideMark/>
          </w:tcPr>
          <w:p w:rsidR="00BE4578" w:rsidRPr="00BE4578" w:rsidRDefault="00BE4578" w:rsidP="007F3400">
            <w:pPr>
              <w:jc w:val="right"/>
              <w:rPr>
                <w:b/>
                <w:sz w:val="18"/>
                <w:szCs w:val="18"/>
              </w:rPr>
            </w:pPr>
            <w:r w:rsidRPr="00BE4578">
              <w:rPr>
                <w:b/>
                <w:sz w:val="18"/>
                <w:szCs w:val="18"/>
              </w:rPr>
              <w:t>242.215.621</w:t>
            </w:r>
          </w:p>
        </w:tc>
        <w:tc>
          <w:tcPr>
            <w:tcW w:w="380" w:type="pct"/>
            <w:noWrap/>
            <w:vAlign w:val="center"/>
            <w:hideMark/>
          </w:tcPr>
          <w:p w:rsidR="00BE4578" w:rsidRPr="00BE4578" w:rsidRDefault="00BE4578" w:rsidP="007F3400">
            <w:pPr>
              <w:jc w:val="right"/>
              <w:rPr>
                <w:b/>
                <w:sz w:val="18"/>
                <w:szCs w:val="18"/>
              </w:rPr>
            </w:pPr>
            <w:r w:rsidRPr="00BE4578">
              <w:rPr>
                <w:b/>
                <w:sz w:val="18"/>
                <w:szCs w:val="18"/>
              </w:rPr>
              <w:t>231.920.507</w:t>
            </w:r>
          </w:p>
        </w:tc>
        <w:tc>
          <w:tcPr>
            <w:tcW w:w="380" w:type="pct"/>
            <w:noWrap/>
            <w:vAlign w:val="center"/>
            <w:hideMark/>
          </w:tcPr>
          <w:p w:rsidR="00BE4578" w:rsidRPr="00BE4578" w:rsidRDefault="00BE4578" w:rsidP="007F3400">
            <w:pPr>
              <w:jc w:val="right"/>
              <w:rPr>
                <w:b/>
                <w:sz w:val="18"/>
                <w:szCs w:val="18"/>
              </w:rPr>
            </w:pPr>
            <w:r w:rsidRPr="00BE4578">
              <w:rPr>
                <w:b/>
                <w:sz w:val="18"/>
                <w:szCs w:val="18"/>
              </w:rPr>
              <w:t>277.274.002</w:t>
            </w:r>
          </w:p>
        </w:tc>
        <w:tc>
          <w:tcPr>
            <w:tcW w:w="380" w:type="pct"/>
            <w:noWrap/>
            <w:vAlign w:val="center"/>
            <w:hideMark/>
          </w:tcPr>
          <w:p w:rsidR="00BE4578" w:rsidRPr="00BE4578" w:rsidRDefault="00BE4578" w:rsidP="007F3400">
            <w:pPr>
              <w:jc w:val="right"/>
              <w:rPr>
                <w:b/>
                <w:sz w:val="18"/>
                <w:szCs w:val="18"/>
              </w:rPr>
            </w:pPr>
            <w:r w:rsidRPr="00BE4578">
              <w:rPr>
                <w:b/>
                <w:sz w:val="18"/>
                <w:szCs w:val="18"/>
              </w:rPr>
              <w:t>288.716.505</w:t>
            </w:r>
          </w:p>
        </w:tc>
        <w:tc>
          <w:tcPr>
            <w:tcW w:w="380" w:type="pct"/>
            <w:noWrap/>
            <w:vAlign w:val="center"/>
            <w:hideMark/>
          </w:tcPr>
          <w:p w:rsidR="00BE4578" w:rsidRPr="00BE4578" w:rsidRDefault="00BE4578" w:rsidP="007F3400">
            <w:pPr>
              <w:jc w:val="right"/>
              <w:rPr>
                <w:b/>
                <w:sz w:val="18"/>
                <w:szCs w:val="18"/>
              </w:rPr>
            </w:pPr>
            <w:r w:rsidRPr="00BE4578">
              <w:rPr>
                <w:b/>
                <w:sz w:val="18"/>
                <w:szCs w:val="18"/>
              </w:rPr>
              <w:t>336.559.442</w:t>
            </w:r>
          </w:p>
        </w:tc>
      </w:tr>
    </w:tbl>
    <w:p w:rsidR="00436FDC" w:rsidRPr="00125018" w:rsidRDefault="00436FDC" w:rsidP="00436FDC">
      <w:pPr>
        <w:jc w:val="both"/>
      </w:pPr>
      <w:r w:rsidRPr="00125018">
        <w:t>Miktar: Kg</w:t>
      </w:r>
    </w:p>
    <w:p w:rsidR="00436FDC" w:rsidRPr="00125018" w:rsidRDefault="00436FDC" w:rsidP="00436FDC">
      <w:pPr>
        <w:jc w:val="both"/>
      </w:pPr>
      <w:r w:rsidRPr="00125018">
        <w:t>Değer: ABD Doları</w:t>
      </w:r>
    </w:p>
    <w:p w:rsidR="004328B1" w:rsidRPr="00125018" w:rsidRDefault="004328B1" w:rsidP="00125018">
      <w:pPr>
        <w:jc w:val="both"/>
      </w:pPr>
    </w:p>
    <w:sectPr w:rsidR="004328B1" w:rsidRPr="00125018" w:rsidSect="00437A5B">
      <w:footerReference w:type="first" r:id="rId12"/>
      <w:pgSz w:w="16838" w:h="11906" w:orient="landscape" w:code="9"/>
      <w:pgMar w:top="720" w:right="720" w:bottom="720" w:left="720"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9B2" w:rsidRDefault="000F29B2" w:rsidP="004328B1">
      <w:r>
        <w:separator/>
      </w:r>
    </w:p>
  </w:endnote>
  <w:endnote w:type="continuationSeparator" w:id="0">
    <w:p w:rsidR="000F29B2" w:rsidRDefault="000F29B2" w:rsidP="0043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9B2" w:rsidRDefault="000F29B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5F150E">
      <w:rPr>
        <w:rStyle w:val="SayfaNumaras"/>
        <w:noProof/>
      </w:rPr>
      <w:t>23</w:t>
    </w:r>
    <w:r>
      <w:rPr>
        <w:rStyle w:val="SayfaNumaras"/>
      </w:rPr>
      <w:fldChar w:fldCharType="end"/>
    </w:r>
  </w:p>
  <w:p w:rsidR="000F29B2" w:rsidRDefault="000F29B2">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462244"/>
      <w:docPartObj>
        <w:docPartGallery w:val="Page Numbers (Bottom of Page)"/>
        <w:docPartUnique/>
      </w:docPartObj>
    </w:sdtPr>
    <w:sdtContent>
      <w:p w:rsidR="000F29B2" w:rsidRDefault="000F29B2">
        <w:pPr>
          <w:pStyle w:val="Altbilgi"/>
          <w:jc w:val="right"/>
        </w:pPr>
        <w:r>
          <w:fldChar w:fldCharType="begin"/>
        </w:r>
        <w:r>
          <w:instrText>PAGE   \* MERGEFORMAT</w:instrText>
        </w:r>
        <w:r>
          <w:fldChar w:fldCharType="separate"/>
        </w:r>
        <w:r w:rsidR="00352446">
          <w:rPr>
            <w:noProof/>
          </w:rPr>
          <w:t>24</w:t>
        </w:r>
        <w:r>
          <w:fldChar w:fldCharType="end"/>
        </w:r>
      </w:p>
    </w:sdtContent>
  </w:sdt>
  <w:p w:rsidR="000F29B2" w:rsidRDefault="000F29B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9B2" w:rsidRDefault="000F29B2" w:rsidP="004328B1">
      <w:r>
        <w:separator/>
      </w:r>
    </w:p>
  </w:footnote>
  <w:footnote w:type="continuationSeparator" w:id="0">
    <w:p w:rsidR="000F29B2" w:rsidRDefault="000F29B2" w:rsidP="004328B1">
      <w:r>
        <w:continuationSeparator/>
      </w:r>
    </w:p>
  </w:footnote>
  <w:footnote w:id="1">
    <w:p w:rsidR="000F29B2" w:rsidRDefault="000F29B2" w:rsidP="00AD63DB">
      <w:pPr>
        <w:pStyle w:val="DipnotMetni"/>
      </w:pPr>
      <w:r>
        <w:rPr>
          <w:rStyle w:val="DipnotBavurusu"/>
        </w:rPr>
        <w:footnoteRef/>
      </w:r>
      <w:r>
        <w:t xml:space="preserve"> </w:t>
      </w:r>
      <w:proofErr w:type="spellStart"/>
      <w:r>
        <w:t>Chem</w:t>
      </w:r>
      <w:proofErr w:type="spellEnd"/>
      <w:r>
        <w:t xml:space="preserve"> </w:t>
      </w:r>
      <w:proofErr w:type="spellStart"/>
      <w:r>
        <w:t>Systems</w:t>
      </w:r>
      <w:proofErr w:type="spellEnd"/>
      <w:r>
        <w:t xml:space="preserve">, </w:t>
      </w:r>
      <w:proofErr w:type="spellStart"/>
      <w:r>
        <w:t>Perp</w:t>
      </w:r>
      <w:proofErr w:type="spellEnd"/>
      <w:r>
        <w:t xml:space="preserve"> Program – Terephthalic Acid, </w:t>
      </w:r>
      <w:hyperlink r:id="rId1" w:history="1">
        <w:r>
          <w:rPr>
            <w:rStyle w:val="Kpr"/>
          </w:rPr>
          <w:t>http://www.chemsystems.com/about/cs/news/items/PERP%200910_6_PTA.cfm</w:t>
        </w:r>
      </w:hyperlink>
      <w:r>
        <w:t xml:space="preserve">, </w:t>
      </w:r>
      <w:proofErr w:type="gramStart"/>
      <w:r>
        <w:t>20/5/2013</w:t>
      </w:r>
      <w:proofErr w:type="gramEnd"/>
      <w:r>
        <w:t xml:space="preserve"> tarihinde erişildi</w:t>
      </w:r>
    </w:p>
  </w:footnote>
  <w:footnote w:id="2">
    <w:p w:rsidR="000F29B2" w:rsidRDefault="000F29B2">
      <w:pPr>
        <w:pStyle w:val="DipnotMetni"/>
      </w:pPr>
      <w:r>
        <w:rPr>
          <w:rStyle w:val="DipnotBavurusu"/>
        </w:rPr>
        <w:footnoteRef/>
      </w:r>
      <w:r>
        <w:t xml:space="preserve"> Arjantin-Ayakkabı Panel Raporu, Paragraf: 8.166,</w:t>
      </w:r>
      <w:r w:rsidRPr="008F63E7">
        <w:t xml:space="preserve"> </w:t>
      </w:r>
      <w:hyperlink r:id="rId2" w:history="1">
        <w:r>
          <w:rPr>
            <w:rStyle w:val="Kpr"/>
          </w:rPr>
          <w:t>http://www.worldtradelaw.net/reports/wtopanels/argentina-footwearsafeguards(panel).pdf</w:t>
        </w:r>
      </w:hyperlink>
      <w:r>
        <w:t xml:space="preserve">, </w:t>
      </w:r>
      <w:proofErr w:type="gramStart"/>
      <w:r>
        <w:t>27/6/2013</w:t>
      </w:r>
      <w:proofErr w:type="gramEnd"/>
      <w:r>
        <w:t xml:space="preserve"> tarihinde erişildi</w:t>
      </w:r>
    </w:p>
  </w:footnote>
  <w:footnote w:id="3">
    <w:p w:rsidR="000F29B2" w:rsidRDefault="000F29B2">
      <w:pPr>
        <w:pStyle w:val="DipnotMetni"/>
      </w:pPr>
      <w:r>
        <w:rPr>
          <w:rStyle w:val="DipnotBavurusu"/>
        </w:rPr>
        <w:footnoteRef/>
      </w:r>
      <w:r>
        <w:t xml:space="preserve"> Arjantin-Ayakkabı Temyiz Organı Raporu Paragraf: 130, </w:t>
      </w:r>
      <w:hyperlink r:id="rId3" w:history="1">
        <w:r>
          <w:rPr>
            <w:rStyle w:val="Kpr"/>
          </w:rPr>
          <w:t>http://www.wto.org/english/tratop_e/dispu_e/121abr.pdf</w:t>
        </w:r>
      </w:hyperlink>
      <w:r>
        <w:t xml:space="preserve">, </w:t>
      </w:r>
      <w:proofErr w:type="gramStart"/>
      <w:r>
        <w:t>27/6/2013</w:t>
      </w:r>
      <w:proofErr w:type="gramEnd"/>
      <w:r>
        <w:t xml:space="preserve"> tarihinde erişildi</w:t>
      </w:r>
    </w:p>
  </w:footnote>
  <w:footnote w:id="4">
    <w:p w:rsidR="000F29B2" w:rsidRDefault="000F29B2" w:rsidP="000B336F">
      <w:pPr>
        <w:pStyle w:val="DipnotMetni"/>
      </w:pPr>
      <w:r>
        <w:rPr>
          <w:rStyle w:val="DipnotBavurusu"/>
        </w:rPr>
        <w:footnoteRef/>
      </w:r>
      <w:r>
        <w:t xml:space="preserve"> Arjantin-Ayakkabı Temyiz Organı Raporu, Paragraf: 131,</w:t>
      </w:r>
      <w:r w:rsidRPr="008F63E7">
        <w:t xml:space="preserve"> </w:t>
      </w:r>
      <w:proofErr w:type="gramStart"/>
      <w:r>
        <w:t>27/6/2013</w:t>
      </w:r>
      <w:proofErr w:type="gramEnd"/>
      <w:r>
        <w:t xml:space="preserve"> tarihinde erişildi</w:t>
      </w:r>
    </w:p>
    <w:p w:rsidR="000F29B2" w:rsidRDefault="000F29B2" w:rsidP="000B336F">
      <w:pPr>
        <w:pStyle w:val="DipnotMetni"/>
      </w:pPr>
    </w:p>
  </w:footnote>
  <w:footnote w:id="5">
    <w:p w:rsidR="000F29B2" w:rsidRDefault="000F29B2">
      <w:pPr>
        <w:pStyle w:val="DipnotMetni"/>
      </w:pPr>
      <w:r>
        <w:rPr>
          <w:rStyle w:val="DipnotBavurusu"/>
        </w:rPr>
        <w:footnoteRef/>
      </w:r>
      <w:r>
        <w:t xml:space="preserve"> </w:t>
      </w:r>
      <w:hyperlink r:id="rId4" w:history="1">
        <w:r w:rsidRPr="00DE5477">
          <w:rPr>
            <w:rStyle w:val="Kpr"/>
          </w:rPr>
          <w:t>http://www.ekonomi.gov.tr/upload/B87AC400-C6FE-C450-D3D3ECA03B1D8C4A/Tüm%20yıla%20ilişkin%20bilgiler_web.docx</w:t>
        </w:r>
      </w:hyperlink>
      <w:r>
        <w:t xml:space="preserve"> </w:t>
      </w:r>
    </w:p>
  </w:footnote>
  <w:footnote w:id="6">
    <w:p w:rsidR="000F29B2" w:rsidRDefault="000F29B2" w:rsidP="00F86AC4">
      <w:pPr>
        <w:pStyle w:val="DipnotMetni"/>
      </w:pPr>
      <w:r>
        <w:rPr>
          <w:rStyle w:val="DipnotBavurusu"/>
        </w:rPr>
        <w:footnoteRef/>
      </w:r>
      <w:r>
        <w:t xml:space="preserve"> Kapatılmaktan Kapasite Artışına Bir Fabrikanın </w:t>
      </w:r>
      <w:proofErr w:type="spellStart"/>
      <w:r>
        <w:t>Varolma</w:t>
      </w:r>
      <w:proofErr w:type="spellEnd"/>
      <w:r>
        <w:t xml:space="preserve"> Mücadelesi, Petkim İç Yayını, s.6</w:t>
      </w:r>
    </w:p>
  </w:footnote>
  <w:footnote w:id="7">
    <w:p w:rsidR="000F29B2" w:rsidRDefault="000F29B2" w:rsidP="00F86AC4">
      <w:pPr>
        <w:pStyle w:val="DipnotMetni"/>
      </w:pPr>
      <w:r>
        <w:rPr>
          <w:rStyle w:val="DipnotBavurusu"/>
        </w:rPr>
        <w:footnoteRef/>
      </w:r>
      <w:r>
        <w:t xml:space="preserve"> </w:t>
      </w:r>
      <w:hyperlink r:id="rId5" w:history="1">
        <w:r w:rsidRPr="00A83078">
          <w:rPr>
            <w:rStyle w:val="Kpr"/>
          </w:rPr>
          <w:t>http://www.kap.gov.tr/bildirim-sorgulari/bildirim-detayi.aspx?id=172220</w:t>
        </w:r>
      </w:hyperlink>
      <w:r>
        <w:t xml:space="preserve">, </w:t>
      </w:r>
      <w:proofErr w:type="gramStart"/>
      <w:r>
        <w:t>20/2/2014</w:t>
      </w:r>
      <w:proofErr w:type="gramEnd"/>
      <w:r>
        <w:t xml:space="preserve"> tarihinde erişildi.    </w:t>
      </w:r>
    </w:p>
  </w:footnote>
  <w:footnote w:id="8">
    <w:p w:rsidR="000F29B2" w:rsidRDefault="000F29B2" w:rsidP="00F86AC4">
      <w:pPr>
        <w:pStyle w:val="DipnotMetni"/>
      </w:pPr>
      <w:r>
        <w:rPr>
          <w:rStyle w:val="DipnotBavurusu"/>
        </w:rPr>
        <w:footnoteRef/>
      </w:r>
      <w:r>
        <w:t xml:space="preserve"> </w:t>
      </w:r>
      <w:hyperlink r:id="rId6" w:history="1">
        <w:r w:rsidRPr="00A83078">
          <w:rPr>
            <w:rStyle w:val="Kpr"/>
          </w:rPr>
          <w:t>http://www.petkim.com.tr/Sayfa/1/8/KURUMSAL.aspx</w:t>
        </w:r>
      </w:hyperlink>
      <w:r>
        <w:t xml:space="preserve">, </w:t>
      </w:r>
      <w:proofErr w:type="gramStart"/>
      <w:r>
        <w:t>20/2/2014</w:t>
      </w:r>
      <w:proofErr w:type="gramEnd"/>
      <w:r>
        <w:t xml:space="preserve"> tarihinde erişildi.</w:t>
      </w:r>
    </w:p>
  </w:footnote>
  <w:footnote w:id="9">
    <w:p w:rsidR="000F29B2" w:rsidRDefault="000F29B2" w:rsidP="00F86AC4">
      <w:pPr>
        <w:pStyle w:val="DipnotMetni"/>
      </w:pPr>
      <w:r>
        <w:rPr>
          <w:rStyle w:val="DipnotBavurusu"/>
        </w:rPr>
        <w:footnoteRef/>
      </w:r>
      <w:r>
        <w:t xml:space="preserve"> </w:t>
      </w:r>
      <w:hyperlink r:id="rId7" w:history="1">
        <w:r w:rsidRPr="00A83078">
          <w:rPr>
            <w:rStyle w:val="Kpr"/>
          </w:rPr>
          <w:t>http://www.socar.com.tr/content/petlim-limancilik-ticaret</w:t>
        </w:r>
      </w:hyperlink>
      <w:r>
        <w:t xml:space="preserve">, </w:t>
      </w:r>
      <w:proofErr w:type="gramStart"/>
      <w:r>
        <w:t>20/2/2014</w:t>
      </w:r>
      <w:proofErr w:type="gramEnd"/>
      <w:r>
        <w:t xml:space="preserve"> tarihinde erişildi.  </w:t>
      </w:r>
    </w:p>
  </w:footnote>
  <w:footnote w:id="10">
    <w:p w:rsidR="000F29B2" w:rsidRDefault="000F29B2" w:rsidP="00F86AC4">
      <w:pPr>
        <w:pStyle w:val="DipnotMetni"/>
      </w:pPr>
      <w:r>
        <w:rPr>
          <w:rStyle w:val="DipnotBavurusu"/>
        </w:rPr>
        <w:footnoteRef/>
      </w:r>
      <w:r>
        <w:t xml:space="preserve"> Petkim 2012 Faaliyet Raporu, s. 6, </w:t>
      </w:r>
      <w:hyperlink r:id="rId8" w:history="1">
        <w:r w:rsidRPr="00A83078">
          <w:rPr>
            <w:rStyle w:val="Kpr"/>
          </w:rPr>
          <w:t>http://www.petkim.com.tr/UserFiles/file/Yatirimci_Iliskileri/Faaliyet_Raporlari/petkim_faaliyet_raporu_2012.pdf</w:t>
        </w:r>
      </w:hyperlink>
      <w:r>
        <w:t xml:space="preserve">, </w:t>
      </w:r>
      <w:proofErr w:type="gramStart"/>
      <w:r>
        <w:t>20/2/2014</w:t>
      </w:r>
      <w:proofErr w:type="gramEnd"/>
      <w:r>
        <w:t xml:space="preserve"> tarihinde erişildi.  </w:t>
      </w:r>
    </w:p>
  </w:footnote>
  <w:footnote w:id="11">
    <w:p w:rsidR="000F29B2" w:rsidRDefault="000F29B2" w:rsidP="00F86AC4">
      <w:pPr>
        <w:pStyle w:val="DipnotMetni"/>
      </w:pPr>
      <w:r>
        <w:rPr>
          <w:rStyle w:val="DipnotBavurusu"/>
        </w:rPr>
        <w:footnoteRef/>
      </w:r>
      <w:r>
        <w:t xml:space="preserve"> Petkim 2012 Faaliyet Raporu, s. 123, </w:t>
      </w:r>
      <w:proofErr w:type="gramStart"/>
      <w:r>
        <w:t>21/2/2014</w:t>
      </w:r>
      <w:proofErr w:type="gramEnd"/>
      <w:r>
        <w:t xml:space="preserve"> tarihinde erişildi.  </w:t>
      </w:r>
    </w:p>
  </w:footnote>
  <w:footnote w:id="12">
    <w:p w:rsidR="000F29B2" w:rsidRDefault="000F29B2" w:rsidP="007F6DE6">
      <w:pPr>
        <w:pStyle w:val="DipnotMetni"/>
      </w:pPr>
      <w:r>
        <w:rPr>
          <w:rStyle w:val="DipnotBavurusu"/>
        </w:rPr>
        <w:footnoteRef/>
      </w:r>
      <w:r>
        <w:t xml:space="preserve"> Kaynak: EUROSTAT, </w:t>
      </w:r>
      <w:proofErr w:type="gramStart"/>
      <w:r>
        <w:t>28/2/2014</w:t>
      </w:r>
      <w:proofErr w:type="gramEnd"/>
      <w:r>
        <w:t xml:space="preserve"> tarihinde erişildi.</w:t>
      </w:r>
    </w:p>
  </w:footnote>
  <w:footnote w:id="13">
    <w:p w:rsidR="000F29B2" w:rsidRDefault="000F29B2" w:rsidP="006D1CE9">
      <w:pPr>
        <w:pStyle w:val="DipnotMetni"/>
      </w:pPr>
      <w:r>
        <w:rPr>
          <w:rStyle w:val="DipnotBavurusu"/>
        </w:rPr>
        <w:footnoteRef/>
      </w:r>
      <w:r>
        <w:t xml:space="preserve"> </w:t>
      </w:r>
      <w:proofErr w:type="spellStart"/>
      <w:r w:rsidRPr="00A30FC1">
        <w:t>Chua</w:t>
      </w:r>
      <w:proofErr w:type="spellEnd"/>
      <w:r>
        <w:t>,</w:t>
      </w:r>
      <w:r w:rsidRPr="00A30FC1">
        <w:t xml:space="preserve"> Sok </w:t>
      </w:r>
      <w:proofErr w:type="spellStart"/>
      <w:r w:rsidRPr="00A30FC1">
        <w:t>Peng</w:t>
      </w:r>
      <w:proofErr w:type="spellEnd"/>
      <w:r>
        <w:t>,</w:t>
      </w:r>
      <w:r w:rsidRPr="003E40E9">
        <w:t xml:space="preserve"> </w:t>
      </w:r>
      <w:proofErr w:type="spellStart"/>
      <w:r w:rsidRPr="003E40E9">
        <w:t>China’s</w:t>
      </w:r>
      <w:proofErr w:type="spellEnd"/>
      <w:r w:rsidRPr="003E40E9">
        <w:t xml:space="preserve"> </w:t>
      </w:r>
      <w:proofErr w:type="spellStart"/>
      <w:r w:rsidRPr="003E40E9">
        <w:t>PTA</w:t>
      </w:r>
      <w:proofErr w:type="spellEnd"/>
      <w:r w:rsidRPr="003E40E9">
        <w:t xml:space="preserve"> </w:t>
      </w:r>
      <w:proofErr w:type="spellStart"/>
      <w:r w:rsidRPr="003E40E9">
        <w:t>industry</w:t>
      </w:r>
      <w:proofErr w:type="spellEnd"/>
      <w:r w:rsidRPr="003E40E9">
        <w:t xml:space="preserve">: a </w:t>
      </w:r>
      <w:proofErr w:type="spellStart"/>
      <w:r w:rsidRPr="003E40E9">
        <w:t>victim</w:t>
      </w:r>
      <w:proofErr w:type="spellEnd"/>
      <w:r w:rsidRPr="003E40E9">
        <w:t xml:space="preserve"> of </w:t>
      </w:r>
      <w:proofErr w:type="spellStart"/>
      <w:r w:rsidRPr="003E40E9">
        <w:t>its</w:t>
      </w:r>
      <w:proofErr w:type="spellEnd"/>
      <w:r w:rsidRPr="003E40E9">
        <w:t xml:space="preserve"> </w:t>
      </w:r>
      <w:proofErr w:type="spellStart"/>
      <w:r w:rsidRPr="003E40E9">
        <w:t>own</w:t>
      </w:r>
      <w:proofErr w:type="spellEnd"/>
      <w:r w:rsidRPr="003E40E9">
        <w:t xml:space="preserve"> </w:t>
      </w:r>
      <w:proofErr w:type="spellStart"/>
      <w:r w:rsidRPr="003E40E9">
        <w:t>success</w:t>
      </w:r>
      <w:proofErr w:type="spellEnd"/>
      <w:r>
        <w:t xml:space="preserve">, </w:t>
      </w:r>
      <w:proofErr w:type="gramStart"/>
      <w:r>
        <w:t>8/2/2013</w:t>
      </w:r>
      <w:proofErr w:type="gramEnd"/>
      <w:r>
        <w:t xml:space="preserve">, </w:t>
      </w:r>
      <w:proofErr w:type="spellStart"/>
      <w:r>
        <w:t>Platts</w:t>
      </w:r>
      <w:proofErr w:type="spellEnd"/>
      <w:r>
        <w:t xml:space="preserve"> </w:t>
      </w:r>
      <w:proofErr w:type="spellStart"/>
      <w:r>
        <w:t>McGraw</w:t>
      </w:r>
      <w:proofErr w:type="spellEnd"/>
      <w:r>
        <w:t xml:space="preserve"> </w:t>
      </w:r>
      <w:proofErr w:type="spellStart"/>
      <w:r>
        <w:t>Hill</w:t>
      </w:r>
      <w:proofErr w:type="spellEnd"/>
      <w:r>
        <w:t xml:space="preserve"> Financial, </w:t>
      </w:r>
      <w:hyperlink r:id="rId9" w:history="1">
        <w:r>
          <w:rPr>
            <w:rStyle w:val="Kpr"/>
          </w:rPr>
          <w:t>http://blogs.platts.com/2013/02/08/china-pta/</w:t>
        </w:r>
      </w:hyperlink>
      <w:r>
        <w:t>, 26/8/2013 tarihinde erişildi</w:t>
      </w:r>
    </w:p>
  </w:footnote>
  <w:footnote w:id="14">
    <w:p w:rsidR="000F29B2" w:rsidRDefault="000F29B2" w:rsidP="00D552D7">
      <w:pPr>
        <w:pStyle w:val="DipnotMetni"/>
      </w:pPr>
      <w:r>
        <w:rPr>
          <w:rStyle w:val="DipnotBavurusu"/>
        </w:rPr>
        <w:footnoteRef/>
      </w:r>
      <w:r>
        <w:t xml:space="preserve"> </w:t>
      </w:r>
      <w:proofErr w:type="spellStart"/>
      <w:r w:rsidRPr="003732B1">
        <w:t>Xiangjin</w:t>
      </w:r>
      <w:proofErr w:type="spellEnd"/>
      <w:r>
        <w:t>,</w:t>
      </w:r>
      <w:r w:rsidRPr="003732B1">
        <w:t xml:space="preserve"> </w:t>
      </w:r>
      <w:proofErr w:type="spellStart"/>
      <w:r w:rsidRPr="003732B1">
        <w:t>Zhou</w:t>
      </w:r>
      <w:proofErr w:type="spellEnd"/>
      <w:r>
        <w:t xml:space="preserve">, </w:t>
      </w:r>
      <w:proofErr w:type="spellStart"/>
      <w:r>
        <w:t>Fast</w:t>
      </w:r>
      <w:proofErr w:type="spellEnd"/>
      <w:r>
        <w:t xml:space="preserve"> Expansion of </w:t>
      </w:r>
      <w:proofErr w:type="spellStart"/>
      <w:r>
        <w:t>PTA</w:t>
      </w:r>
      <w:proofErr w:type="spellEnd"/>
      <w:r>
        <w:t xml:space="preserve"> </w:t>
      </w:r>
      <w:proofErr w:type="spellStart"/>
      <w:r>
        <w:t>Industry</w:t>
      </w:r>
      <w:proofErr w:type="spellEnd"/>
      <w:r>
        <w:t xml:space="preserve"> in 2012, </w:t>
      </w:r>
      <w:proofErr w:type="spellStart"/>
      <w:r>
        <w:t>and</w:t>
      </w:r>
      <w:proofErr w:type="spellEnd"/>
      <w:r>
        <w:t xml:space="preserve"> </w:t>
      </w:r>
      <w:proofErr w:type="spellStart"/>
      <w:r>
        <w:t>Risks</w:t>
      </w:r>
      <w:proofErr w:type="spellEnd"/>
      <w:r>
        <w:t xml:space="preserve">, </w:t>
      </w:r>
      <w:proofErr w:type="gramStart"/>
      <w:r>
        <w:t>8/11/2012</w:t>
      </w:r>
      <w:proofErr w:type="gramEnd"/>
      <w:r>
        <w:t xml:space="preserve">, </w:t>
      </w:r>
      <w:proofErr w:type="spellStart"/>
      <w:r w:rsidRPr="003732B1">
        <w:t>9th</w:t>
      </w:r>
      <w:proofErr w:type="spellEnd"/>
      <w:r w:rsidRPr="003732B1">
        <w:t xml:space="preserve"> </w:t>
      </w:r>
      <w:proofErr w:type="spellStart"/>
      <w:r w:rsidRPr="003732B1">
        <w:t>China</w:t>
      </w:r>
      <w:proofErr w:type="spellEnd"/>
      <w:r w:rsidRPr="003732B1">
        <w:t xml:space="preserve"> International Polyester &amp; </w:t>
      </w:r>
      <w:proofErr w:type="spellStart"/>
      <w:r w:rsidRPr="003732B1">
        <w:t>Intermediates</w:t>
      </w:r>
      <w:proofErr w:type="spellEnd"/>
      <w:r w:rsidRPr="003732B1">
        <w:t xml:space="preserve"> Forum</w:t>
      </w:r>
      <w:r>
        <w:t xml:space="preserve">,  </w:t>
      </w:r>
      <w:hyperlink r:id="rId10" w:history="1">
        <w:r w:rsidRPr="00814F2D">
          <w:rPr>
            <w:rStyle w:val="Kpr"/>
          </w:rPr>
          <w:t>www.ccfei.net/UpFile/Conference/201211141326289766504.pdf</w:t>
        </w:r>
      </w:hyperlink>
      <w:r>
        <w:t xml:space="preserve">, 26/8/2013 tarihinde erişildi </w:t>
      </w:r>
    </w:p>
  </w:footnote>
  <w:footnote w:id="15">
    <w:p w:rsidR="000F29B2" w:rsidRDefault="000F29B2">
      <w:pPr>
        <w:pStyle w:val="DipnotMetni"/>
      </w:pPr>
      <w:r>
        <w:rPr>
          <w:rStyle w:val="DipnotBavurusu"/>
        </w:rPr>
        <w:footnoteRef/>
      </w:r>
      <w:r>
        <w:t xml:space="preserve"> </w:t>
      </w:r>
      <w:proofErr w:type="spellStart"/>
      <w:r w:rsidRPr="00A30FC1">
        <w:t>Chua</w:t>
      </w:r>
      <w:proofErr w:type="spellEnd"/>
      <w:r>
        <w:t>,</w:t>
      </w:r>
      <w:r w:rsidRPr="00A30FC1">
        <w:t xml:space="preserve"> </w:t>
      </w:r>
      <w:r>
        <w:t>2013</w:t>
      </w:r>
    </w:p>
  </w:footnote>
  <w:footnote w:id="16">
    <w:p w:rsidR="000F29B2" w:rsidRDefault="000F29B2">
      <w:pPr>
        <w:pStyle w:val="DipnotMetni"/>
      </w:pPr>
      <w:r>
        <w:rPr>
          <w:rStyle w:val="DipnotBavurusu"/>
        </w:rPr>
        <w:footnoteRef/>
      </w:r>
      <w:r>
        <w:t xml:space="preserve"> </w:t>
      </w:r>
      <w:proofErr w:type="spellStart"/>
      <w:r w:rsidRPr="006D1CE9">
        <w:t>Zhang</w:t>
      </w:r>
      <w:proofErr w:type="spellEnd"/>
      <w:r>
        <w:t>,</w:t>
      </w:r>
      <w:r w:rsidRPr="006D1CE9">
        <w:t xml:space="preserve"> </w:t>
      </w:r>
      <w:proofErr w:type="spellStart"/>
      <w:r w:rsidRPr="006D1CE9">
        <w:t>Becky</w:t>
      </w:r>
      <w:proofErr w:type="spellEnd"/>
      <w:r>
        <w:t xml:space="preserve">, </w:t>
      </w:r>
      <w:proofErr w:type="spellStart"/>
      <w:r w:rsidRPr="006D1CE9">
        <w:t>PTA</w:t>
      </w:r>
      <w:proofErr w:type="spellEnd"/>
      <w:r w:rsidRPr="006D1CE9">
        <w:t xml:space="preserve"> </w:t>
      </w:r>
      <w:proofErr w:type="spellStart"/>
      <w:r w:rsidRPr="006D1CE9">
        <w:t>Expansions</w:t>
      </w:r>
      <w:proofErr w:type="spellEnd"/>
      <w:r w:rsidRPr="006D1CE9">
        <w:t xml:space="preserve"> </w:t>
      </w:r>
      <w:proofErr w:type="spellStart"/>
      <w:r w:rsidRPr="006D1CE9">
        <w:t>Threaten</w:t>
      </w:r>
      <w:proofErr w:type="spellEnd"/>
      <w:r w:rsidRPr="006D1CE9">
        <w:t xml:space="preserve"> </w:t>
      </w:r>
      <w:proofErr w:type="spellStart"/>
      <w:r w:rsidRPr="006D1CE9">
        <w:t>Margins</w:t>
      </w:r>
      <w:proofErr w:type="spellEnd"/>
      <w:r>
        <w:t xml:space="preserve">, </w:t>
      </w:r>
      <w:proofErr w:type="gramStart"/>
      <w:r>
        <w:t>28/5/2012</w:t>
      </w:r>
      <w:proofErr w:type="gramEnd"/>
      <w:r>
        <w:t xml:space="preserve">, </w:t>
      </w:r>
      <w:proofErr w:type="spellStart"/>
      <w:r>
        <w:t>ICIS</w:t>
      </w:r>
      <w:proofErr w:type="spellEnd"/>
      <w:r>
        <w:t xml:space="preserve">, </w:t>
      </w:r>
      <w:hyperlink r:id="rId11" w:history="1">
        <w:r>
          <w:rPr>
            <w:rStyle w:val="Kpr"/>
          </w:rPr>
          <w:t>http://www.icis.com/Articles/2012/05/28/9563791/pta+expansions+threaten+margins.html</w:t>
        </w:r>
      </w:hyperlink>
      <w:r>
        <w:t>, 26/8/2013 tarihinde erişildi</w:t>
      </w:r>
    </w:p>
  </w:footnote>
  <w:footnote w:id="17">
    <w:p w:rsidR="000F29B2" w:rsidRDefault="000F29B2">
      <w:pPr>
        <w:pStyle w:val="DipnotMetni"/>
      </w:pPr>
      <w:r>
        <w:rPr>
          <w:rStyle w:val="DipnotBavurusu"/>
        </w:rPr>
        <w:footnoteRef/>
      </w:r>
      <w:r>
        <w:t xml:space="preserve"> </w:t>
      </w:r>
      <w:proofErr w:type="spellStart"/>
      <w:r>
        <w:t>Chua</w:t>
      </w:r>
      <w:proofErr w:type="spellEnd"/>
      <w:r>
        <w:t>, 2013</w:t>
      </w:r>
    </w:p>
  </w:footnote>
  <w:footnote w:id="18">
    <w:p w:rsidR="000F29B2" w:rsidRDefault="000F29B2">
      <w:pPr>
        <w:pStyle w:val="DipnotMetni"/>
      </w:pPr>
      <w:r>
        <w:rPr>
          <w:rStyle w:val="DipnotBavurusu"/>
        </w:rPr>
        <w:footnoteRef/>
      </w:r>
      <w:r>
        <w:t xml:space="preserve"> Trade </w:t>
      </w:r>
      <w:proofErr w:type="spellStart"/>
      <w:r>
        <w:t>Map</w:t>
      </w:r>
      <w:proofErr w:type="spellEnd"/>
      <w:r>
        <w:t xml:space="preserve">, International Trade Center, </w:t>
      </w:r>
      <w:proofErr w:type="gramStart"/>
      <w:r>
        <w:t>3/3/2014</w:t>
      </w:r>
      <w:proofErr w:type="gramEnd"/>
      <w:r>
        <w:t xml:space="preserve"> tarihinde erişildi. </w:t>
      </w:r>
    </w:p>
  </w:footnote>
  <w:footnote w:id="19">
    <w:p w:rsidR="000F29B2" w:rsidRDefault="000F29B2" w:rsidP="00A96C0C">
      <w:pPr>
        <w:pStyle w:val="DipnotMetni"/>
      </w:pPr>
      <w:r>
        <w:rPr>
          <w:rStyle w:val="DipnotBavurusu"/>
        </w:rPr>
        <w:footnoteRef/>
      </w:r>
      <w:r>
        <w:t xml:space="preserve"> PKN-ORLEN basın bildirisi, </w:t>
      </w:r>
      <w:proofErr w:type="gramStart"/>
      <w:r>
        <w:t>23/7/2003</w:t>
      </w:r>
      <w:proofErr w:type="gramEnd"/>
      <w:r>
        <w:t xml:space="preserve">, </w:t>
      </w:r>
      <w:hyperlink r:id="rId12" w:history="1">
        <w:r w:rsidRPr="00364CAB">
          <w:rPr>
            <w:rStyle w:val="Kpr"/>
          </w:rPr>
          <w:t>http://www.orlen.pl/EN/PressCenter/Pages/PKNORLENbeginsconstructio.aspx</w:t>
        </w:r>
      </w:hyperlink>
      <w:r>
        <w:t xml:space="preserve">, 4/3/2014 tarihinde erişildi. </w:t>
      </w:r>
    </w:p>
  </w:footnote>
  <w:footnote w:id="20">
    <w:p w:rsidR="000F29B2" w:rsidRDefault="000F29B2">
      <w:pPr>
        <w:pStyle w:val="DipnotMetni"/>
      </w:pPr>
      <w:r>
        <w:rPr>
          <w:rStyle w:val="DipnotBavurusu"/>
        </w:rPr>
        <w:footnoteRef/>
      </w:r>
      <w:r>
        <w:t xml:space="preserve"> </w:t>
      </w:r>
      <w:proofErr w:type="spellStart"/>
      <w:r>
        <w:t>Artlant</w:t>
      </w:r>
      <w:proofErr w:type="spellEnd"/>
      <w:r>
        <w:t xml:space="preserve"> </w:t>
      </w:r>
      <w:proofErr w:type="spellStart"/>
      <w:r>
        <w:t>PTA</w:t>
      </w:r>
      <w:proofErr w:type="spellEnd"/>
      <w:r>
        <w:t xml:space="preserve"> internet sitesi, </w:t>
      </w:r>
      <w:hyperlink r:id="rId13" w:history="1">
        <w:r w:rsidRPr="00520E60">
          <w:rPr>
            <w:rStyle w:val="Kpr"/>
          </w:rPr>
          <w:t>http://www.artlantpta.com/index.php/en/customers-area/market</w:t>
        </w:r>
      </w:hyperlink>
      <w:r>
        <w:t xml:space="preserve">, </w:t>
      </w:r>
      <w:proofErr w:type="gramStart"/>
      <w:r>
        <w:t>5/3/2014</w:t>
      </w:r>
      <w:proofErr w:type="gramEnd"/>
      <w:r>
        <w:t xml:space="preserve"> tarihinde erişildi.  </w:t>
      </w:r>
    </w:p>
  </w:footnote>
  <w:footnote w:id="21">
    <w:p w:rsidR="000F29B2" w:rsidRDefault="000F29B2" w:rsidP="00C15809">
      <w:pPr>
        <w:pStyle w:val="DipnotMetni"/>
      </w:pPr>
      <w:r>
        <w:rPr>
          <w:rStyle w:val="DipnotBavurusu"/>
        </w:rPr>
        <w:footnoteRef/>
      </w:r>
      <w:r>
        <w:t xml:space="preserve"> </w:t>
      </w:r>
      <w:proofErr w:type="spellStart"/>
      <w:r>
        <w:t>Murray</w:t>
      </w:r>
      <w:proofErr w:type="spellEnd"/>
      <w:r>
        <w:t xml:space="preserve">, Caroline, </w:t>
      </w:r>
      <w:proofErr w:type="spellStart"/>
      <w:r w:rsidRPr="00F24F12">
        <w:t>Portugal's</w:t>
      </w:r>
      <w:proofErr w:type="spellEnd"/>
      <w:r w:rsidRPr="00F24F12">
        <w:t xml:space="preserve"> </w:t>
      </w:r>
      <w:proofErr w:type="spellStart"/>
      <w:r w:rsidRPr="00F24F12">
        <w:t>Artlant</w:t>
      </w:r>
      <w:proofErr w:type="spellEnd"/>
      <w:r w:rsidRPr="00F24F12">
        <w:t xml:space="preserve"> </w:t>
      </w:r>
      <w:proofErr w:type="spellStart"/>
      <w:r w:rsidRPr="00F24F12">
        <w:t>PTA</w:t>
      </w:r>
      <w:proofErr w:type="spellEnd"/>
      <w:r w:rsidRPr="00F24F12">
        <w:t xml:space="preserve"> </w:t>
      </w:r>
      <w:proofErr w:type="spellStart"/>
      <w:r w:rsidRPr="00F24F12">
        <w:t>starts</w:t>
      </w:r>
      <w:proofErr w:type="spellEnd"/>
      <w:r w:rsidRPr="00F24F12">
        <w:t xml:space="preserve"> </w:t>
      </w:r>
      <w:proofErr w:type="spellStart"/>
      <w:r w:rsidRPr="00F24F12">
        <w:t>up</w:t>
      </w:r>
      <w:proofErr w:type="spellEnd"/>
      <w:r w:rsidRPr="00F24F12">
        <w:t xml:space="preserve"> in </w:t>
      </w:r>
      <w:proofErr w:type="spellStart"/>
      <w:r w:rsidRPr="00F24F12">
        <w:t>lacklustre</w:t>
      </w:r>
      <w:proofErr w:type="spellEnd"/>
      <w:r w:rsidRPr="00F24F12">
        <w:t xml:space="preserve"> market</w:t>
      </w:r>
      <w:r>
        <w:t xml:space="preserve">, </w:t>
      </w:r>
      <w:proofErr w:type="gramStart"/>
      <w:r>
        <w:t>30/5/2012</w:t>
      </w:r>
      <w:proofErr w:type="gramEnd"/>
      <w:r>
        <w:t xml:space="preserve">, </w:t>
      </w:r>
      <w:hyperlink r:id="rId14" w:history="1">
        <w:r>
          <w:rPr>
            <w:rStyle w:val="Kpr"/>
          </w:rPr>
          <w:t>http://www.icis.com/Articles/2012/03/30/9546180/portugals-artlant-pta-starts-up-in-lacklustre-market.html</w:t>
        </w:r>
      </w:hyperlink>
      <w:r>
        <w:t xml:space="preserve">, 28/8/2013 tarihinde erişildi. </w:t>
      </w:r>
    </w:p>
  </w:footnote>
  <w:footnote w:id="22">
    <w:p w:rsidR="000F29B2" w:rsidRDefault="000F29B2">
      <w:pPr>
        <w:pStyle w:val="DipnotMetni"/>
      </w:pPr>
      <w:r>
        <w:rPr>
          <w:rStyle w:val="DipnotBavurusu"/>
        </w:rPr>
        <w:footnoteRef/>
      </w:r>
      <w:r>
        <w:t xml:space="preserve"> PKN-ORLEN 2012 Yıllık Rapor, </w:t>
      </w:r>
      <w:hyperlink r:id="rId15" w:history="1">
        <w:r w:rsidRPr="00520E60">
          <w:rPr>
            <w:rStyle w:val="Kpr"/>
          </w:rPr>
          <w:t>http://www.orlen.pl/EN/InvestorRelations/Documents/rr_2012_en[1].pdf</w:t>
        </w:r>
      </w:hyperlink>
      <w:r>
        <w:t xml:space="preserve">, </w:t>
      </w:r>
      <w:proofErr w:type="gramStart"/>
      <w:r>
        <w:t>5/3/2014</w:t>
      </w:r>
      <w:proofErr w:type="gramEnd"/>
      <w:r>
        <w:t xml:space="preserve"> tahinde erişildi. </w:t>
      </w:r>
    </w:p>
  </w:footnote>
  <w:footnote w:id="23">
    <w:p w:rsidR="000F29B2" w:rsidRDefault="000F29B2" w:rsidP="007F6DE6">
      <w:pPr>
        <w:pStyle w:val="DipnotMetni"/>
      </w:pPr>
      <w:r>
        <w:rPr>
          <w:rStyle w:val="DipnotBavurusu"/>
        </w:rPr>
        <w:footnoteRef/>
      </w:r>
      <w:r>
        <w:t xml:space="preserve"> Kaynak: EUROSTAT, </w:t>
      </w:r>
      <w:proofErr w:type="gramStart"/>
      <w:r>
        <w:t>4/3/2014</w:t>
      </w:r>
      <w:proofErr w:type="gramEnd"/>
      <w:r>
        <w:t xml:space="preserve"> tarihinde erişildi.</w:t>
      </w:r>
    </w:p>
  </w:footnote>
  <w:footnote w:id="24">
    <w:p w:rsidR="000F29B2" w:rsidRDefault="000F29B2" w:rsidP="00B0060E">
      <w:pPr>
        <w:pStyle w:val="DipnotMetni"/>
      </w:pPr>
      <w:r>
        <w:rPr>
          <w:rStyle w:val="DipnotBavurusu"/>
        </w:rPr>
        <w:footnoteRef/>
      </w:r>
      <w:r>
        <w:t xml:space="preserve"> </w:t>
      </w:r>
      <w:hyperlink r:id="rId16" w:history="1">
        <w:r>
          <w:rPr>
            <w:rStyle w:val="Kpr"/>
          </w:rPr>
          <w:t>http://www.petkim.com.tr/Content.aspx?id=42</w:t>
        </w:r>
      </w:hyperlink>
      <w:r>
        <w:t xml:space="preserve">, </w:t>
      </w:r>
      <w:proofErr w:type="gramStart"/>
      <w:r>
        <w:t>19/7/2013</w:t>
      </w:r>
      <w:proofErr w:type="gramEnd"/>
      <w:r>
        <w:t xml:space="preserve"> tarihinde erişildi</w:t>
      </w:r>
    </w:p>
  </w:footnote>
  <w:footnote w:id="25">
    <w:p w:rsidR="000F29B2" w:rsidRDefault="000F29B2" w:rsidP="00AF6355">
      <w:pPr>
        <w:pStyle w:val="DipnotMetni"/>
      </w:pPr>
      <w:r>
        <w:rPr>
          <w:rStyle w:val="DipnotBavurusu"/>
        </w:rPr>
        <w:footnoteRef/>
      </w:r>
      <w:r>
        <w:t xml:space="preserve"> Kaynak: </w:t>
      </w:r>
      <w:hyperlink r:id="rId17" w:history="1">
        <w:r>
          <w:rPr>
            <w:rStyle w:val="Kpr"/>
          </w:rPr>
          <w:t>http://www.indexmundi.com/commodities/?commodity=crude-oil&amp;months=120</w:t>
        </w:r>
      </w:hyperlink>
      <w:r>
        <w:t xml:space="preserve">, </w:t>
      </w:r>
      <w:proofErr w:type="gramStart"/>
      <w:r>
        <w:t>6/2/2014</w:t>
      </w:r>
      <w:proofErr w:type="gramEnd"/>
      <w:r>
        <w:t xml:space="preserve"> tarihinde erişildi.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F8A"/>
    <w:multiLevelType w:val="multilevel"/>
    <w:tmpl w:val="999ECE44"/>
    <w:lvl w:ilvl="0">
      <w:start w:val="1"/>
      <w:numFmt w:val="decimal"/>
      <w:pStyle w:val="BOLUMALTBASLIGI"/>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1.%2"/>
      <w:lvlJc w:val="left"/>
      <w:pPr>
        <w:tabs>
          <w:tab w:val="num" w:pos="1080"/>
        </w:tabs>
        <w:ind w:left="720" w:firstLine="0"/>
      </w:pPr>
      <w:rPr>
        <w:b/>
      </w:rPr>
    </w:lvl>
    <w:lvl w:ilvl="2">
      <w:start w:val="1"/>
      <w:numFmt w:val="decimal"/>
      <w:lvlText w:val="%1.%2.%3"/>
      <w:lvlJc w:val="left"/>
      <w:pPr>
        <w:tabs>
          <w:tab w:val="num" w:pos="2052"/>
        </w:tabs>
        <w:ind w:left="2052" w:hanging="1152"/>
      </w:pPr>
    </w:lvl>
    <w:lvl w:ilvl="3">
      <w:start w:val="1"/>
      <w:numFmt w:val="decimal"/>
      <w:lvlText w:val="%1.%2.%3.%4"/>
      <w:lvlJc w:val="left"/>
      <w:pPr>
        <w:tabs>
          <w:tab w:val="num" w:pos="792"/>
        </w:tabs>
        <w:ind w:left="792" w:hanging="720"/>
      </w:pPr>
    </w:lvl>
    <w:lvl w:ilvl="4">
      <w:start w:val="1"/>
      <w:numFmt w:val="decimal"/>
      <w:lvlText w:val="%1.%2.%3.%4.%5"/>
      <w:lvlJc w:val="left"/>
      <w:pPr>
        <w:tabs>
          <w:tab w:val="num" w:pos="1152"/>
        </w:tabs>
        <w:ind w:left="1152" w:hanging="1080"/>
      </w:pPr>
    </w:lvl>
    <w:lvl w:ilvl="5">
      <w:start w:val="1"/>
      <w:numFmt w:val="decimal"/>
      <w:lvlText w:val="%1.%2.%3.%4.%5.%6"/>
      <w:lvlJc w:val="left"/>
      <w:pPr>
        <w:tabs>
          <w:tab w:val="num" w:pos="1152"/>
        </w:tabs>
        <w:ind w:left="1152" w:hanging="1080"/>
      </w:pPr>
    </w:lvl>
    <w:lvl w:ilvl="6">
      <w:start w:val="1"/>
      <w:numFmt w:val="decimal"/>
      <w:lvlText w:val="%1.%2.%3.%4.%5.%6.%7"/>
      <w:lvlJc w:val="left"/>
      <w:pPr>
        <w:tabs>
          <w:tab w:val="num" w:pos="1512"/>
        </w:tabs>
        <w:ind w:left="1512" w:hanging="1440"/>
      </w:pPr>
    </w:lvl>
    <w:lvl w:ilvl="7">
      <w:start w:val="1"/>
      <w:numFmt w:val="decimal"/>
      <w:lvlText w:val="%1.%2.%3.%4.%5.%6.%7.%8"/>
      <w:lvlJc w:val="left"/>
      <w:pPr>
        <w:tabs>
          <w:tab w:val="num" w:pos="1512"/>
        </w:tabs>
        <w:ind w:left="1512" w:hanging="1440"/>
      </w:pPr>
    </w:lvl>
    <w:lvl w:ilvl="8">
      <w:start w:val="1"/>
      <w:numFmt w:val="decimal"/>
      <w:lvlText w:val="%1.%2.%3.%4.%5.%6.%7.%8.%9"/>
      <w:lvlJc w:val="left"/>
      <w:pPr>
        <w:tabs>
          <w:tab w:val="num" w:pos="1872"/>
        </w:tabs>
        <w:ind w:left="1872" w:hanging="1800"/>
      </w:pPr>
    </w:lvl>
  </w:abstractNum>
  <w:abstractNum w:abstractNumId="1">
    <w:nsid w:val="0D9F35B8"/>
    <w:multiLevelType w:val="hybridMultilevel"/>
    <w:tmpl w:val="23083418"/>
    <w:lvl w:ilvl="0" w:tplc="86B2EC12">
      <w:start w:val="1"/>
      <w:numFmt w:val="decimal"/>
      <w:pStyle w:val="Balk6"/>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7634744"/>
    <w:multiLevelType w:val="hybridMultilevel"/>
    <w:tmpl w:val="6F8496B2"/>
    <w:lvl w:ilvl="0" w:tplc="041F000F">
      <w:start w:val="1"/>
      <w:numFmt w:val="decimal"/>
      <w:lvlText w:val="%1."/>
      <w:lvlJc w:val="left"/>
      <w:pPr>
        <w:ind w:left="1515" w:hanging="360"/>
      </w:pPr>
    </w:lvl>
    <w:lvl w:ilvl="1" w:tplc="041F0019" w:tentative="1">
      <w:start w:val="1"/>
      <w:numFmt w:val="lowerLetter"/>
      <w:lvlText w:val="%2."/>
      <w:lvlJc w:val="left"/>
      <w:pPr>
        <w:ind w:left="2235" w:hanging="360"/>
      </w:pPr>
    </w:lvl>
    <w:lvl w:ilvl="2" w:tplc="041F001B" w:tentative="1">
      <w:start w:val="1"/>
      <w:numFmt w:val="lowerRoman"/>
      <w:lvlText w:val="%3."/>
      <w:lvlJc w:val="right"/>
      <w:pPr>
        <w:ind w:left="2955" w:hanging="180"/>
      </w:pPr>
    </w:lvl>
    <w:lvl w:ilvl="3" w:tplc="041F000F" w:tentative="1">
      <w:start w:val="1"/>
      <w:numFmt w:val="decimal"/>
      <w:lvlText w:val="%4."/>
      <w:lvlJc w:val="left"/>
      <w:pPr>
        <w:ind w:left="3675" w:hanging="360"/>
      </w:pPr>
    </w:lvl>
    <w:lvl w:ilvl="4" w:tplc="041F0019" w:tentative="1">
      <w:start w:val="1"/>
      <w:numFmt w:val="lowerLetter"/>
      <w:lvlText w:val="%5."/>
      <w:lvlJc w:val="left"/>
      <w:pPr>
        <w:ind w:left="4395" w:hanging="360"/>
      </w:pPr>
    </w:lvl>
    <w:lvl w:ilvl="5" w:tplc="041F001B" w:tentative="1">
      <w:start w:val="1"/>
      <w:numFmt w:val="lowerRoman"/>
      <w:lvlText w:val="%6."/>
      <w:lvlJc w:val="right"/>
      <w:pPr>
        <w:ind w:left="5115" w:hanging="180"/>
      </w:pPr>
    </w:lvl>
    <w:lvl w:ilvl="6" w:tplc="041F000F" w:tentative="1">
      <w:start w:val="1"/>
      <w:numFmt w:val="decimal"/>
      <w:lvlText w:val="%7."/>
      <w:lvlJc w:val="left"/>
      <w:pPr>
        <w:ind w:left="5835" w:hanging="360"/>
      </w:pPr>
    </w:lvl>
    <w:lvl w:ilvl="7" w:tplc="041F0019" w:tentative="1">
      <w:start w:val="1"/>
      <w:numFmt w:val="lowerLetter"/>
      <w:lvlText w:val="%8."/>
      <w:lvlJc w:val="left"/>
      <w:pPr>
        <w:ind w:left="6555" w:hanging="360"/>
      </w:pPr>
    </w:lvl>
    <w:lvl w:ilvl="8" w:tplc="041F001B" w:tentative="1">
      <w:start w:val="1"/>
      <w:numFmt w:val="lowerRoman"/>
      <w:lvlText w:val="%9."/>
      <w:lvlJc w:val="right"/>
      <w:pPr>
        <w:ind w:left="7275" w:hanging="180"/>
      </w:pPr>
    </w:lvl>
  </w:abstractNum>
  <w:abstractNum w:abstractNumId="3">
    <w:nsid w:val="2D50147F"/>
    <w:multiLevelType w:val="multilevel"/>
    <w:tmpl w:val="10C0D188"/>
    <w:lvl w:ilvl="0">
      <w:start w:val="1"/>
      <w:numFmt w:val="decimal"/>
      <w:pStyle w:val="BASLIK"/>
      <w:lvlText w:val="%1."/>
      <w:lvlJc w:val="left"/>
      <w:pPr>
        <w:tabs>
          <w:tab w:val="num" w:pos="504"/>
        </w:tabs>
        <w:ind w:left="504" w:hanging="360"/>
      </w:pPr>
    </w:lvl>
    <w:lvl w:ilvl="1">
      <w:start w:val="1"/>
      <w:numFmt w:val="decimal"/>
      <w:lvlText w:val="%1.%2."/>
      <w:lvlJc w:val="left"/>
      <w:pPr>
        <w:tabs>
          <w:tab w:val="num" w:pos="1224"/>
        </w:tabs>
        <w:ind w:left="936" w:hanging="432"/>
      </w:pPr>
    </w:lvl>
    <w:lvl w:ilvl="2">
      <w:start w:val="1"/>
      <w:numFmt w:val="decimal"/>
      <w:lvlText w:val="%1.%2.%3."/>
      <w:lvlJc w:val="left"/>
      <w:pPr>
        <w:tabs>
          <w:tab w:val="num" w:pos="1944"/>
        </w:tabs>
        <w:ind w:left="1368" w:hanging="504"/>
      </w:pPr>
    </w:lvl>
    <w:lvl w:ilvl="3">
      <w:start w:val="1"/>
      <w:numFmt w:val="decimal"/>
      <w:lvlText w:val="%1.%2.%3.%4."/>
      <w:lvlJc w:val="left"/>
      <w:pPr>
        <w:tabs>
          <w:tab w:val="num" w:pos="2664"/>
        </w:tabs>
        <w:ind w:left="1872" w:hanging="648"/>
      </w:pPr>
    </w:lvl>
    <w:lvl w:ilvl="4">
      <w:start w:val="1"/>
      <w:numFmt w:val="decimal"/>
      <w:lvlText w:val="%1.%2.%3.%4.%5."/>
      <w:lvlJc w:val="left"/>
      <w:pPr>
        <w:tabs>
          <w:tab w:val="num" w:pos="3384"/>
        </w:tabs>
        <w:ind w:left="2376" w:hanging="792"/>
      </w:pPr>
    </w:lvl>
    <w:lvl w:ilvl="5">
      <w:start w:val="1"/>
      <w:numFmt w:val="decimal"/>
      <w:lvlText w:val="%1.%2.%3.%4.%5.%6."/>
      <w:lvlJc w:val="left"/>
      <w:pPr>
        <w:tabs>
          <w:tab w:val="num" w:pos="4104"/>
        </w:tabs>
        <w:ind w:left="2880" w:hanging="936"/>
      </w:pPr>
    </w:lvl>
    <w:lvl w:ilvl="6">
      <w:start w:val="1"/>
      <w:numFmt w:val="decimal"/>
      <w:lvlText w:val="%1.%2.%3.%4.%5.%6.%7."/>
      <w:lvlJc w:val="left"/>
      <w:pPr>
        <w:tabs>
          <w:tab w:val="num" w:pos="4824"/>
        </w:tabs>
        <w:ind w:left="3384" w:hanging="1080"/>
      </w:pPr>
    </w:lvl>
    <w:lvl w:ilvl="7">
      <w:start w:val="1"/>
      <w:numFmt w:val="decimal"/>
      <w:lvlText w:val="%1.%2.%3.%4.%5.%6.%7.%8."/>
      <w:lvlJc w:val="left"/>
      <w:pPr>
        <w:tabs>
          <w:tab w:val="num" w:pos="5544"/>
        </w:tabs>
        <w:ind w:left="3888" w:hanging="1224"/>
      </w:pPr>
    </w:lvl>
    <w:lvl w:ilvl="8">
      <w:start w:val="1"/>
      <w:numFmt w:val="decimal"/>
      <w:lvlText w:val="%1.%2.%3.%4.%5.%6.%7.%8.%9."/>
      <w:lvlJc w:val="left"/>
      <w:pPr>
        <w:tabs>
          <w:tab w:val="num" w:pos="6264"/>
        </w:tabs>
        <w:ind w:left="4464" w:hanging="1440"/>
      </w:pPr>
    </w:lvl>
  </w:abstractNum>
  <w:abstractNum w:abstractNumId="4">
    <w:nsid w:val="3475312B"/>
    <w:multiLevelType w:val="multilevel"/>
    <w:tmpl w:val="98E86232"/>
    <w:lvl w:ilvl="0">
      <w:start w:val="1"/>
      <w:numFmt w:val="decimal"/>
      <w:lvlText w:val="%1."/>
      <w:lvlJc w:val="left"/>
      <w:pPr>
        <w:ind w:left="360" w:hanging="360"/>
      </w:pPr>
      <w:rPr>
        <w:rFonts w:hint="default"/>
      </w:rPr>
    </w:lvl>
    <w:lvl w:ilvl="1">
      <w:start w:val="1"/>
      <w:numFmt w:val="decimal"/>
      <w:pStyle w:val="Balk3"/>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CE71A91"/>
    <w:multiLevelType w:val="multilevel"/>
    <w:tmpl w:val="7046CCDC"/>
    <w:lvl w:ilvl="0">
      <w:start w:val="1"/>
      <w:numFmt w:val="decimal"/>
      <w:lvlText w:val="%1."/>
      <w:lvlJc w:val="left"/>
      <w:pPr>
        <w:ind w:left="360" w:hanging="360"/>
      </w:pPr>
      <w:rPr>
        <w:rFonts w:hint="default"/>
      </w:rPr>
    </w:lvl>
    <w:lvl w:ilvl="1">
      <w:start w:val="1"/>
      <w:numFmt w:val="decimal"/>
      <w:pStyle w:val="Balk4"/>
      <w:lvlText w:val="%1.%2."/>
      <w:lvlJc w:val="left"/>
      <w:pPr>
        <w:ind w:left="792" w:hanging="432"/>
      </w:pPr>
      <w:rPr>
        <w:rFonts w:hint="default"/>
        <w:b/>
      </w:rPr>
    </w:lvl>
    <w:lvl w:ilvl="2">
      <w:start w:val="1"/>
      <w:numFmt w:val="decimal"/>
      <w:lvlText w:val="%1.%2.%3."/>
      <w:lvlJc w:val="left"/>
      <w:pPr>
        <w:ind w:left="1214" w:hanging="504"/>
      </w:pPr>
      <w:rPr>
        <w:rFonts w:hint="default"/>
        <w:b w:val="0"/>
      </w:rPr>
    </w:lvl>
    <w:lvl w:ilvl="3">
      <w:start w:val="1"/>
      <w:numFmt w:val="decimal"/>
      <w:lvlText w:val="%1.%2.%3.%4."/>
      <w:lvlJc w:val="left"/>
      <w:pPr>
        <w:ind w:left="1728" w:hanging="648"/>
      </w:pPr>
      <w:rPr>
        <w:rFonts w:ascii="Times New Roman" w:hAnsi="Times New Roman" w:cs="Times New Roman" w:hint="default"/>
        <w:b w:val="0"/>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10106ED"/>
    <w:multiLevelType w:val="hybridMultilevel"/>
    <w:tmpl w:val="FA94880E"/>
    <w:lvl w:ilvl="0" w:tplc="00D8B032">
      <w:start w:val="1"/>
      <w:numFmt w:val="decimal"/>
      <w:pStyle w:val="Balk2"/>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736220C"/>
    <w:multiLevelType w:val="multilevel"/>
    <w:tmpl w:val="2702BDA0"/>
    <w:lvl w:ilvl="0">
      <w:start w:val="1"/>
      <w:numFmt w:val="decimal"/>
      <w:pStyle w:val="BOLUMNUMARALARI"/>
      <w:lvlText w:val="%1."/>
      <w:lvlJc w:val="left"/>
      <w:pPr>
        <w:tabs>
          <w:tab w:val="num" w:pos="737"/>
        </w:tabs>
        <w:ind w:left="737" w:hanging="737"/>
      </w:pPr>
      <w:rPr>
        <w:rFonts w:ascii="Times New Roman" w:hAnsi="Times New Roman" w:hint="default"/>
        <w:b/>
        <w:i w:val="0"/>
        <w:caps/>
        <w:sz w:val="24"/>
      </w:rPr>
    </w:lvl>
    <w:lvl w:ilvl="1">
      <w:start w:val="1"/>
      <w:numFmt w:val="decimal"/>
      <w:pStyle w:val="BOLUMNUMARALARI-1"/>
      <w:lvlText w:val="%1.%2"/>
      <w:lvlJc w:val="left"/>
      <w:pPr>
        <w:tabs>
          <w:tab w:val="num" w:pos="928"/>
        </w:tabs>
        <w:ind w:left="682" w:hanging="114"/>
      </w:pPr>
      <w:rPr>
        <w:rFonts w:ascii="Times New Roman" w:hAnsi="Times New Roman" w:hint="default"/>
        <w:b/>
        <w:i w:val="0"/>
        <w:caps w:val="0"/>
        <w:sz w:val="24"/>
      </w:rPr>
    </w:lvl>
    <w:lvl w:ilvl="2">
      <w:start w:val="1"/>
      <w:numFmt w:val="decimal"/>
      <w:pStyle w:val="BOLUMNUMARALARI-2"/>
      <w:lvlText w:val="%1.%2.%3."/>
      <w:lvlJc w:val="left"/>
      <w:pPr>
        <w:tabs>
          <w:tab w:val="num" w:pos="1288"/>
        </w:tabs>
        <w:ind w:left="568" w:firstLine="0"/>
      </w:pPr>
      <w:rPr>
        <w:rFonts w:hint="default"/>
        <w:b/>
        <w:sz w:val="24"/>
      </w:rPr>
    </w:lvl>
    <w:lvl w:ilvl="3">
      <w:start w:val="1"/>
      <w:numFmt w:val="decimal"/>
      <w:lvlText w:val="%1.%2.%3.%4."/>
      <w:lvlJc w:val="left"/>
      <w:pPr>
        <w:tabs>
          <w:tab w:val="num" w:pos="1800"/>
        </w:tabs>
        <w:ind w:left="720" w:firstLine="0"/>
      </w:pPr>
      <w:rPr>
        <w:rFonts w:hint="default"/>
        <w:sz w:val="24"/>
      </w:rPr>
    </w:lvl>
    <w:lvl w:ilvl="4">
      <w:start w:val="1"/>
      <w:numFmt w:val="decimal"/>
      <w:lvlText w:val="%1.%2.%3.%4.%5."/>
      <w:lvlJc w:val="left"/>
      <w:pPr>
        <w:tabs>
          <w:tab w:val="num" w:pos="2214"/>
        </w:tabs>
        <w:ind w:left="1080" w:firstLine="5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5CAF5E90"/>
    <w:multiLevelType w:val="multilevel"/>
    <w:tmpl w:val="44B0AB08"/>
    <w:lvl w:ilvl="0">
      <w:start w:val="1"/>
      <w:numFmt w:val="decimal"/>
      <w:lvlText w:val="%1."/>
      <w:lvlJc w:val="left"/>
      <w:pPr>
        <w:ind w:left="360" w:hanging="360"/>
      </w:pPr>
      <w:rPr>
        <w:rFonts w:hint="default"/>
      </w:rPr>
    </w:lvl>
    <w:lvl w:ilvl="1">
      <w:start w:val="1"/>
      <w:numFmt w:val="decimal"/>
      <w:pStyle w:val="Balk5"/>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7BB40540"/>
    <w:multiLevelType w:val="hybridMultilevel"/>
    <w:tmpl w:val="10BE8BF2"/>
    <w:lvl w:ilvl="0" w:tplc="EA9033A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5"/>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324"/>
    <w:rsid w:val="00000D86"/>
    <w:rsid w:val="00001C63"/>
    <w:rsid w:val="000028D5"/>
    <w:rsid w:val="00005D6D"/>
    <w:rsid w:val="000129F3"/>
    <w:rsid w:val="00013D2E"/>
    <w:rsid w:val="0002018A"/>
    <w:rsid w:val="000235F3"/>
    <w:rsid w:val="000306E9"/>
    <w:rsid w:val="00032E74"/>
    <w:rsid w:val="00036949"/>
    <w:rsid w:val="00046DE9"/>
    <w:rsid w:val="00051D6B"/>
    <w:rsid w:val="00053D5F"/>
    <w:rsid w:val="00056229"/>
    <w:rsid w:val="00060CF0"/>
    <w:rsid w:val="00066271"/>
    <w:rsid w:val="0007074A"/>
    <w:rsid w:val="000707CB"/>
    <w:rsid w:val="00072B63"/>
    <w:rsid w:val="000760A9"/>
    <w:rsid w:val="00087E92"/>
    <w:rsid w:val="00090F18"/>
    <w:rsid w:val="00093FB2"/>
    <w:rsid w:val="000952CF"/>
    <w:rsid w:val="000978DD"/>
    <w:rsid w:val="000A11A8"/>
    <w:rsid w:val="000A6E6A"/>
    <w:rsid w:val="000B336F"/>
    <w:rsid w:val="000B72B2"/>
    <w:rsid w:val="000C11C7"/>
    <w:rsid w:val="000C2B3E"/>
    <w:rsid w:val="000C2F91"/>
    <w:rsid w:val="000C7A48"/>
    <w:rsid w:val="000D5B8E"/>
    <w:rsid w:val="000D7268"/>
    <w:rsid w:val="000E1CA9"/>
    <w:rsid w:val="000E34AF"/>
    <w:rsid w:val="000F29B2"/>
    <w:rsid w:val="000F659A"/>
    <w:rsid w:val="000F6CA3"/>
    <w:rsid w:val="0010145E"/>
    <w:rsid w:val="00102D24"/>
    <w:rsid w:val="001129F9"/>
    <w:rsid w:val="00115CE5"/>
    <w:rsid w:val="00117CAC"/>
    <w:rsid w:val="00121679"/>
    <w:rsid w:val="00125018"/>
    <w:rsid w:val="00131419"/>
    <w:rsid w:val="00132994"/>
    <w:rsid w:val="001455F5"/>
    <w:rsid w:val="00150318"/>
    <w:rsid w:val="001528B7"/>
    <w:rsid w:val="00154970"/>
    <w:rsid w:val="001643A4"/>
    <w:rsid w:val="0016571F"/>
    <w:rsid w:val="00170E6E"/>
    <w:rsid w:val="001738D4"/>
    <w:rsid w:val="001836BB"/>
    <w:rsid w:val="00183B1B"/>
    <w:rsid w:val="00187FA0"/>
    <w:rsid w:val="00190F27"/>
    <w:rsid w:val="001938E6"/>
    <w:rsid w:val="001A697E"/>
    <w:rsid w:val="001B5767"/>
    <w:rsid w:val="001D0411"/>
    <w:rsid w:val="001D0699"/>
    <w:rsid w:val="001D2DFC"/>
    <w:rsid w:val="001D3546"/>
    <w:rsid w:val="001D7540"/>
    <w:rsid w:val="001E0474"/>
    <w:rsid w:val="001E0956"/>
    <w:rsid w:val="001F25DC"/>
    <w:rsid w:val="002048F8"/>
    <w:rsid w:val="00206222"/>
    <w:rsid w:val="00206672"/>
    <w:rsid w:val="00213DB9"/>
    <w:rsid w:val="002179E3"/>
    <w:rsid w:val="002330EA"/>
    <w:rsid w:val="00236A14"/>
    <w:rsid w:val="002424D0"/>
    <w:rsid w:val="00244D39"/>
    <w:rsid w:val="00264193"/>
    <w:rsid w:val="00265871"/>
    <w:rsid w:val="00280DB6"/>
    <w:rsid w:val="00286BA0"/>
    <w:rsid w:val="002942B2"/>
    <w:rsid w:val="002A11E1"/>
    <w:rsid w:val="002A15E0"/>
    <w:rsid w:val="002A2251"/>
    <w:rsid w:val="002A6184"/>
    <w:rsid w:val="002B369D"/>
    <w:rsid w:val="002C01A9"/>
    <w:rsid w:val="002C521A"/>
    <w:rsid w:val="002D2AA2"/>
    <w:rsid w:val="002D507D"/>
    <w:rsid w:val="002D78A6"/>
    <w:rsid w:val="002E01E6"/>
    <w:rsid w:val="002E2E80"/>
    <w:rsid w:val="002E65C6"/>
    <w:rsid w:val="002E6929"/>
    <w:rsid w:val="002F0AA4"/>
    <w:rsid w:val="002F1032"/>
    <w:rsid w:val="002F33EB"/>
    <w:rsid w:val="00300263"/>
    <w:rsid w:val="00303046"/>
    <w:rsid w:val="00310ADB"/>
    <w:rsid w:val="0032583C"/>
    <w:rsid w:val="00327AE6"/>
    <w:rsid w:val="00331F47"/>
    <w:rsid w:val="00341E48"/>
    <w:rsid w:val="003470B0"/>
    <w:rsid w:val="003475BB"/>
    <w:rsid w:val="003509A3"/>
    <w:rsid w:val="003512EE"/>
    <w:rsid w:val="00352446"/>
    <w:rsid w:val="003634B2"/>
    <w:rsid w:val="00366407"/>
    <w:rsid w:val="003705F5"/>
    <w:rsid w:val="00370A21"/>
    <w:rsid w:val="00370BFF"/>
    <w:rsid w:val="003732B1"/>
    <w:rsid w:val="003A2625"/>
    <w:rsid w:val="003A27A1"/>
    <w:rsid w:val="003A74B4"/>
    <w:rsid w:val="003B1D0E"/>
    <w:rsid w:val="003B56C4"/>
    <w:rsid w:val="003C0E83"/>
    <w:rsid w:val="003C275D"/>
    <w:rsid w:val="003C6E9B"/>
    <w:rsid w:val="003E040A"/>
    <w:rsid w:val="003E377A"/>
    <w:rsid w:val="003E40E9"/>
    <w:rsid w:val="003F4AD9"/>
    <w:rsid w:val="00400609"/>
    <w:rsid w:val="00401CAD"/>
    <w:rsid w:val="004077CF"/>
    <w:rsid w:val="00431BFC"/>
    <w:rsid w:val="004328B1"/>
    <w:rsid w:val="00435A31"/>
    <w:rsid w:val="00436A59"/>
    <w:rsid w:val="00436FDC"/>
    <w:rsid w:val="00437A5B"/>
    <w:rsid w:val="00437DC9"/>
    <w:rsid w:val="004405C8"/>
    <w:rsid w:val="004438C9"/>
    <w:rsid w:val="00444481"/>
    <w:rsid w:val="00445EB5"/>
    <w:rsid w:val="00451324"/>
    <w:rsid w:val="0045580D"/>
    <w:rsid w:val="004573CF"/>
    <w:rsid w:val="00473126"/>
    <w:rsid w:val="004749EA"/>
    <w:rsid w:val="00474AEF"/>
    <w:rsid w:val="004775CE"/>
    <w:rsid w:val="004823E3"/>
    <w:rsid w:val="0049418F"/>
    <w:rsid w:val="004957D8"/>
    <w:rsid w:val="004A1B7A"/>
    <w:rsid w:val="004A2C39"/>
    <w:rsid w:val="004A2F09"/>
    <w:rsid w:val="004A65BF"/>
    <w:rsid w:val="004A741A"/>
    <w:rsid w:val="004A7D38"/>
    <w:rsid w:val="004B018A"/>
    <w:rsid w:val="004C4AEC"/>
    <w:rsid w:val="004D55AE"/>
    <w:rsid w:val="004D572A"/>
    <w:rsid w:val="004E0129"/>
    <w:rsid w:val="004E1A8F"/>
    <w:rsid w:val="004F196D"/>
    <w:rsid w:val="004F1E05"/>
    <w:rsid w:val="004F286F"/>
    <w:rsid w:val="00503184"/>
    <w:rsid w:val="005054DC"/>
    <w:rsid w:val="005076E0"/>
    <w:rsid w:val="00510B36"/>
    <w:rsid w:val="005124A6"/>
    <w:rsid w:val="0051770F"/>
    <w:rsid w:val="005240D6"/>
    <w:rsid w:val="0052493C"/>
    <w:rsid w:val="00527054"/>
    <w:rsid w:val="005321C5"/>
    <w:rsid w:val="00532C1E"/>
    <w:rsid w:val="0053575C"/>
    <w:rsid w:val="0053721A"/>
    <w:rsid w:val="00541098"/>
    <w:rsid w:val="00541EFA"/>
    <w:rsid w:val="00547576"/>
    <w:rsid w:val="00561118"/>
    <w:rsid w:val="005717B6"/>
    <w:rsid w:val="00572C1C"/>
    <w:rsid w:val="005976C1"/>
    <w:rsid w:val="005B0896"/>
    <w:rsid w:val="005B0C8C"/>
    <w:rsid w:val="005B2647"/>
    <w:rsid w:val="005B32D9"/>
    <w:rsid w:val="005D2C1B"/>
    <w:rsid w:val="005D657A"/>
    <w:rsid w:val="005E070A"/>
    <w:rsid w:val="005E120F"/>
    <w:rsid w:val="005E3038"/>
    <w:rsid w:val="005E390C"/>
    <w:rsid w:val="005E41C9"/>
    <w:rsid w:val="005E5AD6"/>
    <w:rsid w:val="005F0550"/>
    <w:rsid w:val="005F150E"/>
    <w:rsid w:val="005F5422"/>
    <w:rsid w:val="005F758F"/>
    <w:rsid w:val="005F790A"/>
    <w:rsid w:val="00600089"/>
    <w:rsid w:val="00606D4C"/>
    <w:rsid w:val="006167C7"/>
    <w:rsid w:val="00616B34"/>
    <w:rsid w:val="006214F7"/>
    <w:rsid w:val="0062750F"/>
    <w:rsid w:val="00632E12"/>
    <w:rsid w:val="00633A57"/>
    <w:rsid w:val="00642617"/>
    <w:rsid w:val="00647061"/>
    <w:rsid w:val="00647715"/>
    <w:rsid w:val="00653567"/>
    <w:rsid w:val="00653977"/>
    <w:rsid w:val="006542FF"/>
    <w:rsid w:val="00657275"/>
    <w:rsid w:val="00666325"/>
    <w:rsid w:val="00672D82"/>
    <w:rsid w:val="006733FC"/>
    <w:rsid w:val="00677324"/>
    <w:rsid w:val="00677651"/>
    <w:rsid w:val="00683A4C"/>
    <w:rsid w:val="00690A78"/>
    <w:rsid w:val="00691D4C"/>
    <w:rsid w:val="006B2D5F"/>
    <w:rsid w:val="006D1CE9"/>
    <w:rsid w:val="006D6AD4"/>
    <w:rsid w:val="006E1E2D"/>
    <w:rsid w:val="006F21C3"/>
    <w:rsid w:val="00702197"/>
    <w:rsid w:val="00704F3B"/>
    <w:rsid w:val="007052A0"/>
    <w:rsid w:val="007120E6"/>
    <w:rsid w:val="0071243E"/>
    <w:rsid w:val="00722B91"/>
    <w:rsid w:val="007278E1"/>
    <w:rsid w:val="00727C79"/>
    <w:rsid w:val="00731104"/>
    <w:rsid w:val="007364DC"/>
    <w:rsid w:val="00737A78"/>
    <w:rsid w:val="007401CA"/>
    <w:rsid w:val="007511A4"/>
    <w:rsid w:val="007604E9"/>
    <w:rsid w:val="007648BC"/>
    <w:rsid w:val="0076600F"/>
    <w:rsid w:val="007735D0"/>
    <w:rsid w:val="00774DB4"/>
    <w:rsid w:val="00776A00"/>
    <w:rsid w:val="00777B4E"/>
    <w:rsid w:val="00784A29"/>
    <w:rsid w:val="00786818"/>
    <w:rsid w:val="0079650D"/>
    <w:rsid w:val="007A1C76"/>
    <w:rsid w:val="007A522B"/>
    <w:rsid w:val="007A5765"/>
    <w:rsid w:val="007A5C9B"/>
    <w:rsid w:val="007B153B"/>
    <w:rsid w:val="007C2323"/>
    <w:rsid w:val="007D0117"/>
    <w:rsid w:val="007D0876"/>
    <w:rsid w:val="007D11CF"/>
    <w:rsid w:val="007D2104"/>
    <w:rsid w:val="007E57E5"/>
    <w:rsid w:val="007F09E1"/>
    <w:rsid w:val="007F3400"/>
    <w:rsid w:val="007F6DE6"/>
    <w:rsid w:val="007F7019"/>
    <w:rsid w:val="0080566E"/>
    <w:rsid w:val="0080707C"/>
    <w:rsid w:val="008129B1"/>
    <w:rsid w:val="00815232"/>
    <w:rsid w:val="00821D16"/>
    <w:rsid w:val="00825136"/>
    <w:rsid w:val="00827FD6"/>
    <w:rsid w:val="00835FE2"/>
    <w:rsid w:val="008361DF"/>
    <w:rsid w:val="00841AD7"/>
    <w:rsid w:val="00842C02"/>
    <w:rsid w:val="00843437"/>
    <w:rsid w:val="0084601A"/>
    <w:rsid w:val="00846F07"/>
    <w:rsid w:val="00851305"/>
    <w:rsid w:val="0085263E"/>
    <w:rsid w:val="00853A20"/>
    <w:rsid w:val="00857884"/>
    <w:rsid w:val="00857DE9"/>
    <w:rsid w:val="00861B68"/>
    <w:rsid w:val="00865772"/>
    <w:rsid w:val="00871248"/>
    <w:rsid w:val="0087143B"/>
    <w:rsid w:val="00873945"/>
    <w:rsid w:val="008757F2"/>
    <w:rsid w:val="00880F27"/>
    <w:rsid w:val="00883D15"/>
    <w:rsid w:val="00885FA7"/>
    <w:rsid w:val="00893CB0"/>
    <w:rsid w:val="008A10AD"/>
    <w:rsid w:val="008A3C30"/>
    <w:rsid w:val="008A4D5A"/>
    <w:rsid w:val="008A59C9"/>
    <w:rsid w:val="008A6B4D"/>
    <w:rsid w:val="008B0D08"/>
    <w:rsid w:val="008B2243"/>
    <w:rsid w:val="008B3908"/>
    <w:rsid w:val="008B4EA4"/>
    <w:rsid w:val="008B506C"/>
    <w:rsid w:val="008B782E"/>
    <w:rsid w:val="008C799E"/>
    <w:rsid w:val="008E314A"/>
    <w:rsid w:val="008E3814"/>
    <w:rsid w:val="008F23D5"/>
    <w:rsid w:val="008F2805"/>
    <w:rsid w:val="008F5253"/>
    <w:rsid w:val="008F5A16"/>
    <w:rsid w:val="008F63E7"/>
    <w:rsid w:val="008F7904"/>
    <w:rsid w:val="008F791A"/>
    <w:rsid w:val="00900884"/>
    <w:rsid w:val="009044BD"/>
    <w:rsid w:val="0090470A"/>
    <w:rsid w:val="00904B7C"/>
    <w:rsid w:val="00906250"/>
    <w:rsid w:val="0091288F"/>
    <w:rsid w:val="009128DC"/>
    <w:rsid w:val="00917ED9"/>
    <w:rsid w:val="009219C0"/>
    <w:rsid w:val="00923719"/>
    <w:rsid w:val="00930F67"/>
    <w:rsid w:val="009328AD"/>
    <w:rsid w:val="00945368"/>
    <w:rsid w:val="00954407"/>
    <w:rsid w:val="00964628"/>
    <w:rsid w:val="00965335"/>
    <w:rsid w:val="00980267"/>
    <w:rsid w:val="00982C4E"/>
    <w:rsid w:val="00982ECE"/>
    <w:rsid w:val="009931CC"/>
    <w:rsid w:val="00997EF7"/>
    <w:rsid w:val="009A48A1"/>
    <w:rsid w:val="009A7A38"/>
    <w:rsid w:val="009C5657"/>
    <w:rsid w:val="009D2096"/>
    <w:rsid w:val="009D2845"/>
    <w:rsid w:val="009E43F0"/>
    <w:rsid w:val="009F145A"/>
    <w:rsid w:val="009F5C92"/>
    <w:rsid w:val="009F6167"/>
    <w:rsid w:val="00A07EEE"/>
    <w:rsid w:val="00A20712"/>
    <w:rsid w:val="00A20DBE"/>
    <w:rsid w:val="00A30FC1"/>
    <w:rsid w:val="00A350FF"/>
    <w:rsid w:val="00A46A9D"/>
    <w:rsid w:val="00A6083E"/>
    <w:rsid w:val="00A72654"/>
    <w:rsid w:val="00A72F4E"/>
    <w:rsid w:val="00A74D84"/>
    <w:rsid w:val="00A75F99"/>
    <w:rsid w:val="00A771D2"/>
    <w:rsid w:val="00A77B3D"/>
    <w:rsid w:val="00A83B7B"/>
    <w:rsid w:val="00A85C10"/>
    <w:rsid w:val="00A86179"/>
    <w:rsid w:val="00A87676"/>
    <w:rsid w:val="00A87D08"/>
    <w:rsid w:val="00A90C6A"/>
    <w:rsid w:val="00A96C0C"/>
    <w:rsid w:val="00AA040C"/>
    <w:rsid w:val="00AA2F5D"/>
    <w:rsid w:val="00AA764F"/>
    <w:rsid w:val="00AA7D40"/>
    <w:rsid w:val="00AB5837"/>
    <w:rsid w:val="00AB5931"/>
    <w:rsid w:val="00AB69ED"/>
    <w:rsid w:val="00AB7A18"/>
    <w:rsid w:val="00AC113D"/>
    <w:rsid w:val="00AC7C07"/>
    <w:rsid w:val="00AD63DB"/>
    <w:rsid w:val="00AE7278"/>
    <w:rsid w:val="00AF4AF2"/>
    <w:rsid w:val="00AF6355"/>
    <w:rsid w:val="00B0060E"/>
    <w:rsid w:val="00B02108"/>
    <w:rsid w:val="00B17FE9"/>
    <w:rsid w:val="00B21B49"/>
    <w:rsid w:val="00B2361B"/>
    <w:rsid w:val="00B24525"/>
    <w:rsid w:val="00B25A6F"/>
    <w:rsid w:val="00B26687"/>
    <w:rsid w:val="00B32B15"/>
    <w:rsid w:val="00B50D07"/>
    <w:rsid w:val="00B51A9E"/>
    <w:rsid w:val="00B6039C"/>
    <w:rsid w:val="00B6112A"/>
    <w:rsid w:val="00B6134C"/>
    <w:rsid w:val="00B71C2E"/>
    <w:rsid w:val="00B81CC9"/>
    <w:rsid w:val="00BA3233"/>
    <w:rsid w:val="00BA3242"/>
    <w:rsid w:val="00BA3B84"/>
    <w:rsid w:val="00BA6185"/>
    <w:rsid w:val="00BB50E2"/>
    <w:rsid w:val="00BC27FB"/>
    <w:rsid w:val="00BD407E"/>
    <w:rsid w:val="00BE2DB6"/>
    <w:rsid w:val="00BE4578"/>
    <w:rsid w:val="00BF159F"/>
    <w:rsid w:val="00BF73AC"/>
    <w:rsid w:val="00BF75E3"/>
    <w:rsid w:val="00C0464F"/>
    <w:rsid w:val="00C061EE"/>
    <w:rsid w:val="00C07CB5"/>
    <w:rsid w:val="00C1227C"/>
    <w:rsid w:val="00C12F2B"/>
    <w:rsid w:val="00C15809"/>
    <w:rsid w:val="00C1729A"/>
    <w:rsid w:val="00C17954"/>
    <w:rsid w:val="00C23797"/>
    <w:rsid w:val="00C24996"/>
    <w:rsid w:val="00C26F7A"/>
    <w:rsid w:val="00C272A6"/>
    <w:rsid w:val="00C30F00"/>
    <w:rsid w:val="00C31FCF"/>
    <w:rsid w:val="00C3353A"/>
    <w:rsid w:val="00C42474"/>
    <w:rsid w:val="00C42BCE"/>
    <w:rsid w:val="00C550B4"/>
    <w:rsid w:val="00C55BA8"/>
    <w:rsid w:val="00C57870"/>
    <w:rsid w:val="00C63D7F"/>
    <w:rsid w:val="00C65C3F"/>
    <w:rsid w:val="00C664C9"/>
    <w:rsid w:val="00C700C8"/>
    <w:rsid w:val="00C832BF"/>
    <w:rsid w:val="00C87C29"/>
    <w:rsid w:val="00C90C23"/>
    <w:rsid w:val="00C94B2F"/>
    <w:rsid w:val="00CA0F43"/>
    <w:rsid w:val="00CA5F6F"/>
    <w:rsid w:val="00CA697C"/>
    <w:rsid w:val="00CB4026"/>
    <w:rsid w:val="00CC2D6B"/>
    <w:rsid w:val="00CC4B97"/>
    <w:rsid w:val="00CC5117"/>
    <w:rsid w:val="00CC6730"/>
    <w:rsid w:val="00CD2794"/>
    <w:rsid w:val="00CE37B5"/>
    <w:rsid w:val="00CE51EC"/>
    <w:rsid w:val="00CE72CA"/>
    <w:rsid w:val="00CF6048"/>
    <w:rsid w:val="00CF64AB"/>
    <w:rsid w:val="00D153F2"/>
    <w:rsid w:val="00D271A0"/>
    <w:rsid w:val="00D275F7"/>
    <w:rsid w:val="00D2789A"/>
    <w:rsid w:val="00D35ADA"/>
    <w:rsid w:val="00D403A2"/>
    <w:rsid w:val="00D40851"/>
    <w:rsid w:val="00D460AA"/>
    <w:rsid w:val="00D470FA"/>
    <w:rsid w:val="00D51850"/>
    <w:rsid w:val="00D552D7"/>
    <w:rsid w:val="00D628D5"/>
    <w:rsid w:val="00D644E5"/>
    <w:rsid w:val="00D7037B"/>
    <w:rsid w:val="00D76A83"/>
    <w:rsid w:val="00D814D4"/>
    <w:rsid w:val="00D815B2"/>
    <w:rsid w:val="00D84B89"/>
    <w:rsid w:val="00D97278"/>
    <w:rsid w:val="00DA61DD"/>
    <w:rsid w:val="00DB4408"/>
    <w:rsid w:val="00DE4C33"/>
    <w:rsid w:val="00DE5406"/>
    <w:rsid w:val="00DE5E3F"/>
    <w:rsid w:val="00DF011C"/>
    <w:rsid w:val="00DF4345"/>
    <w:rsid w:val="00DF5412"/>
    <w:rsid w:val="00E00B02"/>
    <w:rsid w:val="00E03F6D"/>
    <w:rsid w:val="00E07A93"/>
    <w:rsid w:val="00E1462C"/>
    <w:rsid w:val="00E1637B"/>
    <w:rsid w:val="00E204DE"/>
    <w:rsid w:val="00E20F45"/>
    <w:rsid w:val="00E2135C"/>
    <w:rsid w:val="00E2353C"/>
    <w:rsid w:val="00E25E53"/>
    <w:rsid w:val="00E41C24"/>
    <w:rsid w:val="00E42F2F"/>
    <w:rsid w:val="00E46E7E"/>
    <w:rsid w:val="00E50ECD"/>
    <w:rsid w:val="00E53ACE"/>
    <w:rsid w:val="00E60A94"/>
    <w:rsid w:val="00E6278C"/>
    <w:rsid w:val="00E629E2"/>
    <w:rsid w:val="00E66763"/>
    <w:rsid w:val="00E72F5D"/>
    <w:rsid w:val="00E73285"/>
    <w:rsid w:val="00E7394D"/>
    <w:rsid w:val="00E812A8"/>
    <w:rsid w:val="00E83EC5"/>
    <w:rsid w:val="00E84D00"/>
    <w:rsid w:val="00E86310"/>
    <w:rsid w:val="00E8666A"/>
    <w:rsid w:val="00E92CF6"/>
    <w:rsid w:val="00E94225"/>
    <w:rsid w:val="00EA18AC"/>
    <w:rsid w:val="00EA3B1E"/>
    <w:rsid w:val="00EA3FB0"/>
    <w:rsid w:val="00EA4A38"/>
    <w:rsid w:val="00EA573C"/>
    <w:rsid w:val="00EA57DE"/>
    <w:rsid w:val="00ED22B4"/>
    <w:rsid w:val="00EE6477"/>
    <w:rsid w:val="00EF6AD3"/>
    <w:rsid w:val="00F00C7C"/>
    <w:rsid w:val="00F02396"/>
    <w:rsid w:val="00F0395C"/>
    <w:rsid w:val="00F03D89"/>
    <w:rsid w:val="00F05C7E"/>
    <w:rsid w:val="00F07999"/>
    <w:rsid w:val="00F07B21"/>
    <w:rsid w:val="00F24F12"/>
    <w:rsid w:val="00F250BA"/>
    <w:rsid w:val="00F418E2"/>
    <w:rsid w:val="00F42851"/>
    <w:rsid w:val="00F43206"/>
    <w:rsid w:val="00F46F0A"/>
    <w:rsid w:val="00F47B11"/>
    <w:rsid w:val="00F5092E"/>
    <w:rsid w:val="00F512E6"/>
    <w:rsid w:val="00F530F3"/>
    <w:rsid w:val="00F54FC0"/>
    <w:rsid w:val="00F552F3"/>
    <w:rsid w:val="00F62F31"/>
    <w:rsid w:val="00F63AF9"/>
    <w:rsid w:val="00F73D96"/>
    <w:rsid w:val="00F75A89"/>
    <w:rsid w:val="00F777A9"/>
    <w:rsid w:val="00F815C3"/>
    <w:rsid w:val="00F82013"/>
    <w:rsid w:val="00F8654F"/>
    <w:rsid w:val="00F86AC4"/>
    <w:rsid w:val="00F90C3F"/>
    <w:rsid w:val="00F93A9F"/>
    <w:rsid w:val="00F951EC"/>
    <w:rsid w:val="00F96E55"/>
    <w:rsid w:val="00FA3AC5"/>
    <w:rsid w:val="00FB2925"/>
    <w:rsid w:val="00FB7005"/>
    <w:rsid w:val="00FB76D4"/>
    <w:rsid w:val="00FC4DF2"/>
    <w:rsid w:val="00FD4574"/>
    <w:rsid w:val="00FD5814"/>
    <w:rsid w:val="00FD638E"/>
    <w:rsid w:val="00FD7A38"/>
    <w:rsid w:val="00FE15F3"/>
    <w:rsid w:val="00FE55C1"/>
    <w:rsid w:val="00FE6454"/>
    <w:rsid w:val="00FE67F2"/>
    <w:rsid w:val="00FF25B9"/>
    <w:rsid w:val="00FF2D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5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C57870"/>
    <w:pPr>
      <w:keepNext/>
      <w:widowControl w:val="0"/>
      <w:tabs>
        <w:tab w:val="left" w:pos="360"/>
      </w:tabs>
      <w:autoSpaceDE w:val="0"/>
      <w:autoSpaceDN w:val="0"/>
      <w:spacing w:before="480" w:after="300" w:line="360" w:lineRule="auto"/>
      <w:jc w:val="center"/>
      <w:outlineLvl w:val="0"/>
    </w:pPr>
    <w:rPr>
      <w:rFonts w:cs="Arial"/>
      <w:b/>
      <w:bCs/>
      <w:kern w:val="28"/>
      <w:szCs w:val="28"/>
      <w:lang w:eastAsia="en-US"/>
    </w:rPr>
  </w:style>
  <w:style w:type="paragraph" w:styleId="Balk2">
    <w:name w:val="heading 2"/>
    <w:basedOn w:val="Normal"/>
    <w:next w:val="Normal"/>
    <w:link w:val="Balk2Char"/>
    <w:autoRedefine/>
    <w:qFormat/>
    <w:rsid w:val="00C57870"/>
    <w:pPr>
      <w:keepNext/>
      <w:numPr>
        <w:numId w:val="6"/>
      </w:numPr>
      <w:spacing w:before="240" w:after="240"/>
      <w:ind w:left="360"/>
      <w:outlineLvl w:val="1"/>
    </w:pPr>
    <w:rPr>
      <w:rFonts w:cs="Arial"/>
      <w:b/>
      <w:bCs/>
      <w:color w:val="000000"/>
      <w:szCs w:val="16"/>
    </w:rPr>
  </w:style>
  <w:style w:type="paragraph" w:styleId="Balk3">
    <w:name w:val="heading 3"/>
    <w:basedOn w:val="Normal"/>
    <w:next w:val="Normal"/>
    <w:link w:val="Balk3Char"/>
    <w:autoRedefine/>
    <w:qFormat/>
    <w:rsid w:val="0071243E"/>
    <w:pPr>
      <w:keepNext/>
      <w:numPr>
        <w:ilvl w:val="1"/>
        <w:numId w:val="7"/>
      </w:numPr>
      <w:spacing w:before="240" w:after="240" w:line="360" w:lineRule="auto"/>
      <w:ind w:left="792"/>
      <w:outlineLvl w:val="2"/>
    </w:pPr>
    <w:rPr>
      <w:rFonts w:cs="Arial"/>
      <w:b/>
      <w:bCs/>
      <w:szCs w:val="16"/>
    </w:rPr>
  </w:style>
  <w:style w:type="paragraph" w:styleId="Balk4">
    <w:name w:val="heading 4"/>
    <w:basedOn w:val="Normal"/>
    <w:next w:val="Normal"/>
    <w:link w:val="Balk4Char"/>
    <w:autoRedefine/>
    <w:qFormat/>
    <w:rsid w:val="008129B1"/>
    <w:pPr>
      <w:keepNext/>
      <w:numPr>
        <w:ilvl w:val="1"/>
        <w:numId w:val="8"/>
      </w:numPr>
      <w:spacing w:before="240" w:after="240"/>
      <w:jc w:val="both"/>
      <w:outlineLvl w:val="3"/>
    </w:pPr>
    <w:rPr>
      <w:rFonts w:cs="Arial"/>
      <w:b/>
      <w:bCs/>
      <w:szCs w:val="16"/>
    </w:rPr>
  </w:style>
  <w:style w:type="paragraph" w:styleId="Balk5">
    <w:name w:val="heading 5"/>
    <w:basedOn w:val="Balk2"/>
    <w:next w:val="Normal"/>
    <w:link w:val="Balk5Char"/>
    <w:autoRedefine/>
    <w:qFormat/>
    <w:rsid w:val="003B56C4"/>
    <w:pPr>
      <w:widowControl w:val="0"/>
      <w:numPr>
        <w:ilvl w:val="1"/>
        <w:numId w:val="3"/>
      </w:numPr>
      <w:tabs>
        <w:tab w:val="left" w:pos="3240"/>
      </w:tabs>
      <w:autoSpaceDE w:val="0"/>
      <w:autoSpaceDN w:val="0"/>
      <w:spacing w:after="60" w:line="360" w:lineRule="auto"/>
      <w:jc w:val="both"/>
      <w:outlineLvl w:val="4"/>
    </w:pPr>
    <w:rPr>
      <w:b w:val="0"/>
      <w:szCs w:val="22"/>
      <w:lang w:eastAsia="en-US"/>
    </w:rPr>
  </w:style>
  <w:style w:type="paragraph" w:styleId="Balk6">
    <w:name w:val="heading 6"/>
    <w:basedOn w:val="Balk1"/>
    <w:next w:val="Normal"/>
    <w:link w:val="Balk6Char"/>
    <w:autoRedefine/>
    <w:qFormat/>
    <w:rsid w:val="00C57870"/>
    <w:pPr>
      <w:numPr>
        <w:numId w:val="4"/>
      </w:numPr>
      <w:tabs>
        <w:tab w:val="left" w:pos="3960"/>
      </w:tabs>
      <w:spacing w:before="240" w:after="60"/>
      <w:ind w:left="360"/>
      <w:jc w:val="left"/>
      <w:outlineLvl w:val="5"/>
    </w:pPr>
    <w:rPr>
      <w:iCs/>
      <w:szCs w:val="22"/>
    </w:rPr>
  </w:style>
  <w:style w:type="paragraph" w:styleId="Balk7">
    <w:name w:val="heading 7"/>
    <w:basedOn w:val="Normal"/>
    <w:next w:val="Normal"/>
    <w:link w:val="Balk7Char"/>
    <w:qFormat/>
    <w:rsid w:val="004328B1"/>
    <w:pPr>
      <w:widowControl w:val="0"/>
      <w:tabs>
        <w:tab w:val="left" w:pos="4680"/>
      </w:tabs>
      <w:autoSpaceDE w:val="0"/>
      <w:autoSpaceDN w:val="0"/>
      <w:spacing w:before="240" w:after="60"/>
      <w:outlineLvl w:val="6"/>
    </w:pPr>
    <w:rPr>
      <w:rFonts w:ascii="Arial" w:hAnsi="Arial" w:cs="Arial"/>
      <w:sz w:val="20"/>
      <w:szCs w:val="20"/>
      <w:lang w:eastAsia="en-US"/>
    </w:rPr>
  </w:style>
  <w:style w:type="paragraph" w:styleId="Balk8">
    <w:name w:val="heading 8"/>
    <w:basedOn w:val="Normal"/>
    <w:next w:val="Normal"/>
    <w:link w:val="Balk8Char"/>
    <w:qFormat/>
    <w:rsid w:val="004328B1"/>
    <w:pPr>
      <w:widowControl w:val="0"/>
      <w:tabs>
        <w:tab w:val="left" w:pos="5400"/>
      </w:tabs>
      <w:autoSpaceDE w:val="0"/>
      <w:autoSpaceDN w:val="0"/>
      <w:spacing w:before="240" w:after="60"/>
      <w:outlineLvl w:val="7"/>
    </w:pPr>
    <w:rPr>
      <w:rFonts w:ascii="Arial" w:hAnsi="Arial" w:cs="Arial"/>
      <w:i/>
      <w:iCs/>
      <w:sz w:val="20"/>
      <w:szCs w:val="20"/>
      <w:lang w:eastAsia="en-US"/>
    </w:rPr>
  </w:style>
  <w:style w:type="paragraph" w:styleId="Balk9">
    <w:name w:val="heading 9"/>
    <w:basedOn w:val="Normal"/>
    <w:next w:val="Normal"/>
    <w:link w:val="Balk9Char"/>
    <w:qFormat/>
    <w:rsid w:val="004328B1"/>
    <w:pPr>
      <w:widowControl w:val="0"/>
      <w:tabs>
        <w:tab w:val="left" w:pos="6120"/>
      </w:tabs>
      <w:autoSpaceDE w:val="0"/>
      <w:autoSpaceDN w:val="0"/>
      <w:spacing w:before="240" w:after="60"/>
      <w:outlineLvl w:val="8"/>
    </w:pPr>
    <w:rPr>
      <w:rFonts w:ascii="Arial" w:hAnsi="Arial" w:cs="Arial"/>
      <w:b/>
      <w:bCs/>
      <w:i/>
      <w:iCs/>
      <w:sz w:val="18"/>
      <w:szCs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57870"/>
    <w:rPr>
      <w:rFonts w:ascii="Times New Roman" w:eastAsia="Times New Roman" w:hAnsi="Times New Roman" w:cs="Arial"/>
      <w:b/>
      <w:bCs/>
      <w:kern w:val="28"/>
      <w:sz w:val="24"/>
      <w:szCs w:val="28"/>
    </w:rPr>
  </w:style>
  <w:style w:type="character" w:customStyle="1" w:styleId="Balk2Char">
    <w:name w:val="Başlık 2 Char"/>
    <w:basedOn w:val="VarsaylanParagrafYazTipi"/>
    <w:link w:val="Balk2"/>
    <w:rsid w:val="00C57870"/>
    <w:rPr>
      <w:rFonts w:ascii="Times New Roman" w:eastAsia="Times New Roman" w:hAnsi="Times New Roman" w:cs="Arial"/>
      <w:b/>
      <w:bCs/>
      <w:color w:val="000000"/>
      <w:sz w:val="24"/>
      <w:szCs w:val="16"/>
      <w:lang w:eastAsia="tr-TR"/>
    </w:rPr>
  </w:style>
  <w:style w:type="character" w:customStyle="1" w:styleId="Balk3Char">
    <w:name w:val="Başlık 3 Char"/>
    <w:basedOn w:val="VarsaylanParagrafYazTipi"/>
    <w:link w:val="Balk3"/>
    <w:rsid w:val="0071243E"/>
    <w:rPr>
      <w:rFonts w:ascii="Times New Roman" w:eastAsia="Times New Roman" w:hAnsi="Times New Roman" w:cs="Arial"/>
      <w:b/>
      <w:bCs/>
      <w:sz w:val="24"/>
      <w:szCs w:val="16"/>
      <w:lang w:eastAsia="tr-TR"/>
    </w:rPr>
  </w:style>
  <w:style w:type="character" w:customStyle="1" w:styleId="Balk4Char">
    <w:name w:val="Başlık 4 Char"/>
    <w:basedOn w:val="VarsaylanParagrafYazTipi"/>
    <w:link w:val="Balk4"/>
    <w:rsid w:val="008129B1"/>
    <w:rPr>
      <w:rFonts w:ascii="Times New Roman" w:eastAsia="Times New Roman" w:hAnsi="Times New Roman" w:cs="Arial"/>
      <w:b/>
      <w:bCs/>
      <w:sz w:val="24"/>
      <w:szCs w:val="16"/>
      <w:lang w:eastAsia="tr-TR"/>
    </w:rPr>
  </w:style>
  <w:style w:type="character" w:customStyle="1" w:styleId="Balk5Char">
    <w:name w:val="Başlık 5 Char"/>
    <w:basedOn w:val="VarsaylanParagrafYazTipi"/>
    <w:link w:val="Balk5"/>
    <w:rsid w:val="003B56C4"/>
    <w:rPr>
      <w:rFonts w:ascii="Times New Roman" w:eastAsia="Times New Roman" w:hAnsi="Times New Roman" w:cs="Arial"/>
      <w:bCs/>
      <w:color w:val="000000"/>
      <w:sz w:val="24"/>
    </w:rPr>
  </w:style>
  <w:style w:type="character" w:customStyle="1" w:styleId="Balk6Char">
    <w:name w:val="Başlık 6 Char"/>
    <w:basedOn w:val="VarsaylanParagrafYazTipi"/>
    <w:link w:val="Balk6"/>
    <w:rsid w:val="00C57870"/>
    <w:rPr>
      <w:rFonts w:ascii="Times New Roman" w:eastAsia="Times New Roman" w:hAnsi="Times New Roman" w:cs="Arial"/>
      <w:b/>
      <w:bCs/>
      <w:iCs/>
      <w:kern w:val="28"/>
      <w:sz w:val="24"/>
    </w:rPr>
  </w:style>
  <w:style w:type="character" w:customStyle="1" w:styleId="Balk7Char">
    <w:name w:val="Başlık 7 Char"/>
    <w:basedOn w:val="VarsaylanParagrafYazTipi"/>
    <w:link w:val="Balk7"/>
    <w:rsid w:val="004328B1"/>
    <w:rPr>
      <w:rFonts w:ascii="Arial" w:eastAsia="Times New Roman" w:hAnsi="Arial" w:cs="Arial"/>
      <w:sz w:val="20"/>
      <w:szCs w:val="20"/>
    </w:rPr>
  </w:style>
  <w:style w:type="character" w:customStyle="1" w:styleId="Balk8Char">
    <w:name w:val="Başlık 8 Char"/>
    <w:basedOn w:val="VarsaylanParagrafYazTipi"/>
    <w:link w:val="Balk8"/>
    <w:rsid w:val="004328B1"/>
    <w:rPr>
      <w:rFonts w:ascii="Arial" w:eastAsia="Times New Roman" w:hAnsi="Arial" w:cs="Arial"/>
      <w:i/>
      <w:iCs/>
      <w:sz w:val="20"/>
      <w:szCs w:val="20"/>
    </w:rPr>
  </w:style>
  <w:style w:type="character" w:customStyle="1" w:styleId="Balk9Char">
    <w:name w:val="Başlık 9 Char"/>
    <w:basedOn w:val="VarsaylanParagrafYazTipi"/>
    <w:link w:val="Balk9"/>
    <w:rsid w:val="004328B1"/>
    <w:rPr>
      <w:rFonts w:ascii="Arial" w:eastAsia="Times New Roman" w:hAnsi="Arial" w:cs="Arial"/>
      <w:b/>
      <w:bCs/>
      <w:i/>
      <w:iCs/>
      <w:sz w:val="18"/>
      <w:szCs w:val="18"/>
    </w:rPr>
  </w:style>
  <w:style w:type="paragraph" w:styleId="GvdeMetniGirintisi">
    <w:name w:val="Body Text Indent"/>
    <w:basedOn w:val="Normal"/>
    <w:link w:val="GvdeMetniGirintisiChar"/>
    <w:rsid w:val="004328B1"/>
    <w:pPr>
      <w:widowControl w:val="0"/>
      <w:shd w:val="clear" w:color="auto" w:fill="FFFFFF"/>
      <w:tabs>
        <w:tab w:val="num" w:pos="0"/>
      </w:tabs>
      <w:autoSpaceDE w:val="0"/>
      <w:autoSpaceDN w:val="0"/>
      <w:jc w:val="both"/>
    </w:pPr>
    <w:rPr>
      <w:lang w:eastAsia="en-US"/>
    </w:rPr>
  </w:style>
  <w:style w:type="character" w:customStyle="1" w:styleId="GvdeMetniGirintisiChar">
    <w:name w:val="Gövde Metni Girintisi Char"/>
    <w:basedOn w:val="VarsaylanParagrafYazTipi"/>
    <w:link w:val="GvdeMetniGirintisi"/>
    <w:rsid w:val="004328B1"/>
    <w:rPr>
      <w:rFonts w:ascii="Times New Roman" w:eastAsia="Times New Roman" w:hAnsi="Times New Roman" w:cs="Times New Roman"/>
      <w:sz w:val="24"/>
      <w:szCs w:val="24"/>
      <w:shd w:val="clear" w:color="auto" w:fill="FFFFFF"/>
    </w:rPr>
  </w:style>
  <w:style w:type="character" w:styleId="DipnotBavurusu">
    <w:name w:val="footnote reference"/>
    <w:basedOn w:val="VarsaylanParagrafYazTipi"/>
    <w:semiHidden/>
    <w:rsid w:val="004328B1"/>
    <w:rPr>
      <w:vertAlign w:val="superscript"/>
    </w:rPr>
  </w:style>
  <w:style w:type="paragraph" w:styleId="NormalWeb">
    <w:name w:val="Normal (Web)"/>
    <w:basedOn w:val="Normal"/>
    <w:rsid w:val="004328B1"/>
    <w:pPr>
      <w:spacing w:before="100" w:beforeAutospacing="1" w:after="100" w:afterAutospacing="1"/>
    </w:pPr>
    <w:rPr>
      <w:lang w:val="en-US" w:eastAsia="en-US"/>
    </w:rPr>
  </w:style>
  <w:style w:type="paragraph" w:styleId="DipnotMetni">
    <w:name w:val="footnote text"/>
    <w:basedOn w:val="Normal"/>
    <w:link w:val="DipnotMetniChar"/>
    <w:semiHidden/>
    <w:rsid w:val="004328B1"/>
    <w:pPr>
      <w:widowControl w:val="0"/>
      <w:autoSpaceDE w:val="0"/>
      <w:autoSpaceDN w:val="0"/>
    </w:pPr>
    <w:rPr>
      <w:sz w:val="20"/>
      <w:szCs w:val="20"/>
      <w:lang w:eastAsia="en-US"/>
    </w:rPr>
  </w:style>
  <w:style w:type="character" w:customStyle="1" w:styleId="DipnotMetniChar">
    <w:name w:val="Dipnot Metni Char"/>
    <w:basedOn w:val="VarsaylanParagrafYazTipi"/>
    <w:link w:val="DipnotMetni"/>
    <w:semiHidden/>
    <w:rsid w:val="004328B1"/>
    <w:rPr>
      <w:rFonts w:ascii="Times New Roman" w:eastAsia="Times New Roman" w:hAnsi="Times New Roman" w:cs="Times New Roman"/>
      <w:sz w:val="20"/>
      <w:szCs w:val="20"/>
    </w:rPr>
  </w:style>
  <w:style w:type="character" w:styleId="Kpr">
    <w:name w:val="Hyperlink"/>
    <w:basedOn w:val="VarsaylanParagrafYazTipi"/>
    <w:uiPriority w:val="99"/>
    <w:rsid w:val="004328B1"/>
    <w:rPr>
      <w:color w:val="0000FF"/>
      <w:u w:val="single"/>
    </w:rPr>
  </w:style>
  <w:style w:type="paragraph" w:styleId="GvdeMetni2">
    <w:name w:val="Body Text 2"/>
    <w:basedOn w:val="Normal"/>
    <w:link w:val="GvdeMetni2Char"/>
    <w:rsid w:val="004328B1"/>
    <w:pPr>
      <w:jc w:val="both"/>
    </w:pPr>
    <w:rPr>
      <w:color w:val="FF0000"/>
      <w:lang w:eastAsia="en-US"/>
    </w:rPr>
  </w:style>
  <w:style w:type="character" w:customStyle="1" w:styleId="GvdeMetni2Char">
    <w:name w:val="Gövde Metni 2 Char"/>
    <w:basedOn w:val="VarsaylanParagrafYazTipi"/>
    <w:link w:val="GvdeMetni2"/>
    <w:rsid w:val="004328B1"/>
    <w:rPr>
      <w:rFonts w:ascii="Times New Roman" w:eastAsia="Times New Roman" w:hAnsi="Times New Roman" w:cs="Times New Roman"/>
      <w:color w:val="FF0000"/>
      <w:sz w:val="24"/>
      <w:szCs w:val="24"/>
    </w:rPr>
  </w:style>
  <w:style w:type="paragraph" w:styleId="GvdeMetni">
    <w:name w:val="Body Text"/>
    <w:basedOn w:val="Normal"/>
    <w:link w:val="GvdeMetniChar"/>
    <w:rsid w:val="004328B1"/>
    <w:pPr>
      <w:shd w:val="clear" w:color="auto" w:fill="FFFFFF"/>
      <w:tabs>
        <w:tab w:val="num" w:pos="567"/>
      </w:tabs>
    </w:pPr>
    <w:rPr>
      <w:b/>
      <w:bCs/>
      <w:color w:val="FF0000"/>
    </w:rPr>
  </w:style>
  <w:style w:type="character" w:customStyle="1" w:styleId="GvdeMetniChar">
    <w:name w:val="Gövde Metni Char"/>
    <w:basedOn w:val="VarsaylanParagrafYazTipi"/>
    <w:link w:val="GvdeMetni"/>
    <w:rsid w:val="004328B1"/>
    <w:rPr>
      <w:rFonts w:ascii="Times New Roman" w:eastAsia="Times New Roman" w:hAnsi="Times New Roman" w:cs="Times New Roman"/>
      <w:b/>
      <w:bCs/>
      <w:color w:val="FF0000"/>
      <w:sz w:val="24"/>
      <w:szCs w:val="24"/>
      <w:shd w:val="clear" w:color="auto" w:fill="FFFFFF"/>
      <w:lang w:eastAsia="tr-TR"/>
    </w:rPr>
  </w:style>
  <w:style w:type="character" w:styleId="Gl">
    <w:name w:val="Strong"/>
    <w:basedOn w:val="VarsaylanParagrafYazTipi"/>
    <w:qFormat/>
    <w:rsid w:val="004328B1"/>
    <w:rPr>
      <w:b/>
      <w:bCs/>
    </w:rPr>
  </w:style>
  <w:style w:type="paragraph" w:styleId="Altbilgi">
    <w:name w:val="footer"/>
    <w:basedOn w:val="Normal"/>
    <w:link w:val="AltbilgiChar"/>
    <w:uiPriority w:val="99"/>
    <w:rsid w:val="004328B1"/>
    <w:pPr>
      <w:tabs>
        <w:tab w:val="center" w:pos="4536"/>
        <w:tab w:val="right" w:pos="9072"/>
      </w:tabs>
    </w:pPr>
  </w:style>
  <w:style w:type="character" w:customStyle="1" w:styleId="AltbilgiChar">
    <w:name w:val="Altbilgi Char"/>
    <w:basedOn w:val="VarsaylanParagrafYazTipi"/>
    <w:link w:val="Altbilgi"/>
    <w:uiPriority w:val="99"/>
    <w:rsid w:val="004328B1"/>
    <w:rPr>
      <w:rFonts w:ascii="Times New Roman" w:eastAsia="Times New Roman" w:hAnsi="Times New Roman" w:cs="Times New Roman"/>
      <w:sz w:val="24"/>
      <w:szCs w:val="24"/>
      <w:lang w:eastAsia="tr-TR"/>
    </w:rPr>
  </w:style>
  <w:style w:type="character" w:styleId="SayfaNumaras">
    <w:name w:val="page number"/>
    <w:basedOn w:val="VarsaylanParagrafYazTipi"/>
    <w:rsid w:val="004328B1"/>
  </w:style>
  <w:style w:type="paragraph" w:styleId="BelgeBalantlar">
    <w:name w:val="Document Map"/>
    <w:basedOn w:val="Normal"/>
    <w:link w:val="BelgeBalantlarChar"/>
    <w:semiHidden/>
    <w:rsid w:val="004328B1"/>
    <w:pPr>
      <w:shd w:val="clear" w:color="auto" w:fill="000080"/>
    </w:pPr>
    <w:rPr>
      <w:rFonts w:ascii="Tahoma" w:hAnsi="Tahoma" w:cs="Tahoma"/>
    </w:rPr>
  </w:style>
  <w:style w:type="character" w:customStyle="1" w:styleId="BelgeBalantlarChar">
    <w:name w:val="Belge Bağlantıları Char"/>
    <w:basedOn w:val="VarsaylanParagrafYazTipi"/>
    <w:link w:val="BelgeBalantlar"/>
    <w:semiHidden/>
    <w:rsid w:val="004328B1"/>
    <w:rPr>
      <w:rFonts w:ascii="Tahoma" w:eastAsia="Times New Roman" w:hAnsi="Tahoma" w:cs="Tahoma"/>
      <w:sz w:val="24"/>
      <w:szCs w:val="24"/>
      <w:shd w:val="clear" w:color="auto" w:fill="000080"/>
      <w:lang w:eastAsia="tr-TR"/>
    </w:rPr>
  </w:style>
  <w:style w:type="paragraph" w:styleId="GvdeMetniGirintisi3">
    <w:name w:val="Body Text Indent 3"/>
    <w:basedOn w:val="Normal"/>
    <w:link w:val="GvdeMetniGirintisi3Char"/>
    <w:rsid w:val="004328B1"/>
    <w:pPr>
      <w:spacing w:after="120"/>
      <w:ind w:left="283"/>
    </w:pPr>
    <w:rPr>
      <w:sz w:val="16"/>
      <w:szCs w:val="16"/>
    </w:rPr>
  </w:style>
  <w:style w:type="character" w:customStyle="1" w:styleId="GvdeMetniGirintisi3Char">
    <w:name w:val="Gövde Metni Girintisi 3 Char"/>
    <w:basedOn w:val="VarsaylanParagrafYazTipi"/>
    <w:link w:val="GvdeMetniGirintisi3"/>
    <w:rsid w:val="004328B1"/>
    <w:rPr>
      <w:rFonts w:ascii="Times New Roman" w:eastAsia="Times New Roman" w:hAnsi="Times New Roman" w:cs="Times New Roman"/>
      <w:sz w:val="16"/>
      <w:szCs w:val="16"/>
      <w:lang w:eastAsia="tr-TR"/>
    </w:rPr>
  </w:style>
  <w:style w:type="paragraph" w:customStyle="1" w:styleId="ATIFMETNI">
    <w:name w:val="ATIF METNI"/>
    <w:basedOn w:val="GvdeMetniGirintisi"/>
    <w:next w:val="Normal"/>
    <w:autoRedefine/>
    <w:rsid w:val="004328B1"/>
    <w:pPr>
      <w:widowControl/>
      <w:shd w:val="clear" w:color="auto" w:fill="auto"/>
      <w:tabs>
        <w:tab w:val="clear" w:pos="0"/>
        <w:tab w:val="left" w:pos="9000"/>
      </w:tabs>
      <w:autoSpaceDE/>
      <w:autoSpaceDN/>
      <w:spacing w:before="240" w:after="240" w:line="360" w:lineRule="auto"/>
      <w:ind w:right="72"/>
    </w:pPr>
    <w:rPr>
      <w:rFonts w:ascii="Arial" w:hAnsi="Arial" w:cs="Arial"/>
    </w:rPr>
  </w:style>
  <w:style w:type="paragraph" w:customStyle="1" w:styleId="BASLIK">
    <w:name w:val="BASLIK"/>
    <w:rsid w:val="004328B1"/>
    <w:pPr>
      <w:numPr>
        <w:numId w:val="1"/>
      </w:numPr>
      <w:spacing w:before="60" w:after="120" w:line="240" w:lineRule="auto"/>
    </w:pPr>
    <w:rPr>
      <w:rFonts w:ascii="Times New Roman" w:eastAsia="Times New Roman" w:hAnsi="Times New Roman" w:cs="Times New Roman"/>
      <w:b/>
      <w:noProof/>
      <w:sz w:val="24"/>
      <w:szCs w:val="20"/>
    </w:rPr>
  </w:style>
  <w:style w:type="paragraph" w:customStyle="1" w:styleId="BOLUMBASLIGI">
    <w:name w:val="BOLUM BASLIGI"/>
    <w:basedOn w:val="Normal"/>
    <w:rsid w:val="004328B1"/>
    <w:pPr>
      <w:spacing w:before="720" w:after="720"/>
      <w:jc w:val="center"/>
    </w:pPr>
    <w:rPr>
      <w:rFonts w:ascii="Arial" w:hAnsi="Arial" w:cs="Arial"/>
      <w:b/>
      <w:lang w:eastAsia="en-US"/>
    </w:rPr>
  </w:style>
  <w:style w:type="paragraph" w:customStyle="1" w:styleId="BOLUMNUMARALARI">
    <w:name w:val="BOLUM NUMARALARI"/>
    <w:next w:val="Normal"/>
    <w:rsid w:val="004328B1"/>
    <w:pPr>
      <w:numPr>
        <w:numId w:val="2"/>
      </w:numPr>
      <w:spacing w:before="360" w:after="240" w:line="240" w:lineRule="auto"/>
    </w:pPr>
    <w:rPr>
      <w:rFonts w:ascii="Times New Roman" w:eastAsia="Times New Roman" w:hAnsi="Times New Roman" w:cs="Times New Roman"/>
      <w:b/>
      <w:sz w:val="24"/>
      <w:szCs w:val="20"/>
    </w:rPr>
  </w:style>
  <w:style w:type="paragraph" w:customStyle="1" w:styleId="BOLUMNUMARALARI-1">
    <w:name w:val="BOLUM NUMARALARI-1"/>
    <w:basedOn w:val="BOLUMNUMARALARI"/>
    <w:next w:val="Normal"/>
    <w:rsid w:val="004328B1"/>
    <w:pPr>
      <w:numPr>
        <w:ilvl w:val="1"/>
      </w:numPr>
      <w:spacing w:before="240" w:after="120"/>
    </w:pPr>
  </w:style>
  <w:style w:type="paragraph" w:customStyle="1" w:styleId="BOLUMNUMARALARI-2">
    <w:name w:val="BOLUM NUMARALARI-2"/>
    <w:basedOn w:val="BOLUMNUMARALARI"/>
    <w:rsid w:val="004328B1"/>
    <w:pPr>
      <w:numPr>
        <w:ilvl w:val="2"/>
      </w:numPr>
      <w:tabs>
        <w:tab w:val="num" w:pos="1440"/>
      </w:tabs>
      <w:ind w:left="720"/>
    </w:pPr>
  </w:style>
  <w:style w:type="paragraph" w:customStyle="1" w:styleId="BOLUMSAYISI">
    <w:name w:val="BOLUM SAYISI"/>
    <w:basedOn w:val="BOLUMBASLIGI"/>
    <w:rsid w:val="004328B1"/>
    <w:pPr>
      <w:spacing w:line="360" w:lineRule="auto"/>
    </w:pPr>
  </w:style>
  <w:style w:type="paragraph" w:customStyle="1" w:styleId="METIN">
    <w:name w:val="METIN"/>
    <w:basedOn w:val="GvdeMetniGirintisi"/>
    <w:uiPriority w:val="99"/>
    <w:rsid w:val="004328B1"/>
    <w:pPr>
      <w:widowControl/>
      <w:shd w:val="clear" w:color="auto" w:fill="auto"/>
      <w:tabs>
        <w:tab w:val="clear" w:pos="0"/>
      </w:tabs>
      <w:autoSpaceDE/>
      <w:autoSpaceDN/>
      <w:spacing w:before="240" w:after="360"/>
      <w:ind w:firstLine="737"/>
    </w:pPr>
    <w:rPr>
      <w:rFonts w:cs="Arial"/>
    </w:rPr>
  </w:style>
  <w:style w:type="paragraph" w:styleId="T1">
    <w:name w:val="toc 1"/>
    <w:basedOn w:val="Normal"/>
    <w:next w:val="Normal"/>
    <w:autoRedefine/>
    <w:uiPriority w:val="39"/>
    <w:qFormat/>
    <w:rsid w:val="002E01E6"/>
  </w:style>
  <w:style w:type="paragraph" w:styleId="T2">
    <w:name w:val="toc 2"/>
    <w:basedOn w:val="Normal"/>
    <w:next w:val="Normal"/>
    <w:autoRedefine/>
    <w:uiPriority w:val="39"/>
    <w:qFormat/>
    <w:rsid w:val="004328B1"/>
    <w:pPr>
      <w:ind w:left="240"/>
    </w:pPr>
  </w:style>
  <w:style w:type="paragraph" w:styleId="T3">
    <w:name w:val="toc 3"/>
    <w:basedOn w:val="Normal"/>
    <w:next w:val="Normal"/>
    <w:autoRedefine/>
    <w:uiPriority w:val="39"/>
    <w:qFormat/>
    <w:rsid w:val="0053721A"/>
    <w:pPr>
      <w:tabs>
        <w:tab w:val="left" w:pos="1440"/>
        <w:tab w:val="right" w:leader="dot" w:pos="9060"/>
      </w:tabs>
      <w:ind w:left="482"/>
    </w:pPr>
  </w:style>
  <w:style w:type="paragraph" w:styleId="T4">
    <w:name w:val="toc 4"/>
    <w:basedOn w:val="Normal"/>
    <w:next w:val="Normal"/>
    <w:autoRedefine/>
    <w:uiPriority w:val="39"/>
    <w:rsid w:val="004328B1"/>
    <w:pPr>
      <w:ind w:left="720"/>
    </w:pPr>
  </w:style>
  <w:style w:type="paragraph" w:styleId="T5">
    <w:name w:val="toc 5"/>
    <w:basedOn w:val="Normal"/>
    <w:next w:val="Normal"/>
    <w:autoRedefine/>
    <w:uiPriority w:val="39"/>
    <w:rsid w:val="004328B1"/>
    <w:pPr>
      <w:ind w:left="960"/>
    </w:pPr>
  </w:style>
  <w:style w:type="paragraph" w:styleId="T6">
    <w:name w:val="toc 6"/>
    <w:basedOn w:val="Normal"/>
    <w:next w:val="Normal"/>
    <w:autoRedefine/>
    <w:uiPriority w:val="39"/>
    <w:rsid w:val="004328B1"/>
    <w:pPr>
      <w:ind w:left="1200"/>
    </w:pPr>
  </w:style>
  <w:style w:type="paragraph" w:styleId="T7">
    <w:name w:val="toc 7"/>
    <w:basedOn w:val="Normal"/>
    <w:next w:val="Normal"/>
    <w:autoRedefine/>
    <w:uiPriority w:val="39"/>
    <w:rsid w:val="004328B1"/>
    <w:pPr>
      <w:ind w:left="1440"/>
    </w:pPr>
  </w:style>
  <w:style w:type="paragraph" w:styleId="T8">
    <w:name w:val="toc 8"/>
    <w:basedOn w:val="Normal"/>
    <w:next w:val="Normal"/>
    <w:autoRedefine/>
    <w:uiPriority w:val="39"/>
    <w:rsid w:val="004328B1"/>
    <w:pPr>
      <w:ind w:left="1680"/>
    </w:pPr>
  </w:style>
  <w:style w:type="paragraph" w:styleId="T9">
    <w:name w:val="toc 9"/>
    <w:basedOn w:val="Normal"/>
    <w:next w:val="Normal"/>
    <w:autoRedefine/>
    <w:uiPriority w:val="39"/>
    <w:rsid w:val="004328B1"/>
    <w:pPr>
      <w:ind w:left="1920"/>
    </w:pPr>
  </w:style>
  <w:style w:type="paragraph" w:styleId="stbilgi">
    <w:name w:val="header"/>
    <w:basedOn w:val="Normal"/>
    <w:link w:val="stbilgiChar"/>
    <w:uiPriority w:val="99"/>
    <w:rsid w:val="004328B1"/>
    <w:pPr>
      <w:tabs>
        <w:tab w:val="center" w:pos="4536"/>
        <w:tab w:val="right" w:pos="9072"/>
      </w:tabs>
    </w:pPr>
  </w:style>
  <w:style w:type="character" w:customStyle="1" w:styleId="stbilgiChar">
    <w:name w:val="Üstbilgi Char"/>
    <w:basedOn w:val="VarsaylanParagrafYazTipi"/>
    <w:link w:val="stbilgi"/>
    <w:uiPriority w:val="99"/>
    <w:rsid w:val="004328B1"/>
    <w:rPr>
      <w:rFonts w:ascii="Times New Roman" w:eastAsia="Times New Roman" w:hAnsi="Times New Roman" w:cs="Times New Roman"/>
      <w:sz w:val="24"/>
      <w:szCs w:val="24"/>
      <w:lang w:eastAsia="tr-TR"/>
    </w:rPr>
  </w:style>
  <w:style w:type="paragraph" w:customStyle="1" w:styleId="BalonMetni1">
    <w:name w:val="Balon Metni1"/>
    <w:basedOn w:val="Normal"/>
    <w:semiHidden/>
    <w:rsid w:val="004328B1"/>
    <w:rPr>
      <w:rFonts w:ascii="Tahoma" w:hAnsi="Tahoma" w:cs="Tahoma"/>
      <w:sz w:val="16"/>
      <w:szCs w:val="16"/>
    </w:rPr>
  </w:style>
  <w:style w:type="paragraph" w:styleId="GvdeMetni3">
    <w:name w:val="Body Text 3"/>
    <w:basedOn w:val="Normal"/>
    <w:link w:val="GvdeMetni3Char"/>
    <w:rsid w:val="004328B1"/>
    <w:rPr>
      <w:rFonts w:ascii="Arial" w:hAnsi="Arial" w:cs="Arial"/>
      <w:sz w:val="20"/>
    </w:rPr>
  </w:style>
  <w:style w:type="character" w:customStyle="1" w:styleId="GvdeMetni3Char">
    <w:name w:val="Gövde Metni 3 Char"/>
    <w:basedOn w:val="VarsaylanParagrafYazTipi"/>
    <w:link w:val="GvdeMetni3"/>
    <w:rsid w:val="004328B1"/>
    <w:rPr>
      <w:rFonts w:ascii="Arial" w:eastAsia="Times New Roman" w:hAnsi="Arial" w:cs="Arial"/>
      <w:sz w:val="20"/>
      <w:szCs w:val="24"/>
      <w:lang w:eastAsia="tr-TR"/>
    </w:rPr>
  </w:style>
  <w:style w:type="character" w:styleId="zlenenKpr">
    <w:name w:val="FollowedHyperlink"/>
    <w:basedOn w:val="VarsaylanParagrafYazTipi"/>
    <w:rsid w:val="004328B1"/>
    <w:rPr>
      <w:color w:val="800080"/>
      <w:u w:val="single"/>
    </w:rPr>
  </w:style>
  <w:style w:type="paragraph" w:styleId="HTMLncedenBiimlendirilmi">
    <w:name w:val="HTML Preformatted"/>
    <w:basedOn w:val="Normal"/>
    <w:link w:val="HTMLncedenBiimlendirilmiChar"/>
    <w:rsid w:val="00432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ncedenBiimlendirilmiChar">
    <w:name w:val="HTML Önceden Biçimlendirilmiş Char"/>
    <w:basedOn w:val="VarsaylanParagrafYazTipi"/>
    <w:link w:val="HTMLncedenBiimlendirilmi"/>
    <w:rsid w:val="004328B1"/>
    <w:rPr>
      <w:rFonts w:ascii="Arial Unicode MS" w:eastAsia="Arial Unicode MS" w:hAnsi="Arial Unicode MS" w:cs="Arial Unicode MS"/>
      <w:sz w:val="20"/>
      <w:szCs w:val="20"/>
      <w:lang w:val="en-US"/>
    </w:rPr>
  </w:style>
  <w:style w:type="paragraph" w:styleId="ResimYazs">
    <w:name w:val="caption"/>
    <w:basedOn w:val="Normal"/>
    <w:next w:val="Normal"/>
    <w:qFormat/>
    <w:rsid w:val="004328B1"/>
    <w:rPr>
      <w:i/>
      <w:iCs/>
      <w:sz w:val="20"/>
    </w:rPr>
  </w:style>
  <w:style w:type="paragraph" w:styleId="Dizin1">
    <w:name w:val="index 1"/>
    <w:basedOn w:val="Normal"/>
    <w:next w:val="Normal"/>
    <w:autoRedefine/>
    <w:semiHidden/>
    <w:rsid w:val="004328B1"/>
    <w:pPr>
      <w:ind w:left="240" w:hanging="240"/>
    </w:pPr>
  </w:style>
  <w:style w:type="paragraph" w:styleId="DizinBal">
    <w:name w:val="index heading"/>
    <w:basedOn w:val="Normal"/>
    <w:next w:val="Dizin1"/>
    <w:semiHidden/>
    <w:rsid w:val="004328B1"/>
    <w:pPr>
      <w:tabs>
        <w:tab w:val="left" w:pos="720"/>
      </w:tabs>
      <w:jc w:val="both"/>
    </w:pPr>
    <w:rPr>
      <w:sz w:val="22"/>
      <w:szCs w:val="20"/>
      <w:lang w:val="en-GB" w:eastAsia="en-US"/>
    </w:rPr>
  </w:style>
  <w:style w:type="paragraph" w:styleId="BalonMetni">
    <w:name w:val="Balloon Text"/>
    <w:basedOn w:val="Normal"/>
    <w:link w:val="BalonMetniChar"/>
    <w:uiPriority w:val="99"/>
    <w:semiHidden/>
    <w:unhideWhenUsed/>
    <w:rsid w:val="00BF75E3"/>
    <w:rPr>
      <w:rFonts w:ascii="Tahoma" w:hAnsi="Tahoma" w:cs="Tahoma"/>
      <w:sz w:val="16"/>
      <w:szCs w:val="16"/>
    </w:rPr>
  </w:style>
  <w:style w:type="character" w:customStyle="1" w:styleId="BalonMetniChar">
    <w:name w:val="Balon Metni Char"/>
    <w:basedOn w:val="VarsaylanParagrafYazTipi"/>
    <w:link w:val="BalonMetni"/>
    <w:uiPriority w:val="99"/>
    <w:semiHidden/>
    <w:rsid w:val="00BF75E3"/>
    <w:rPr>
      <w:rFonts w:ascii="Tahoma" w:eastAsia="Times New Roman" w:hAnsi="Tahoma" w:cs="Tahoma"/>
      <w:sz w:val="16"/>
      <w:szCs w:val="16"/>
      <w:lang w:eastAsia="tr-TR"/>
    </w:rPr>
  </w:style>
  <w:style w:type="character" w:styleId="YerTutucuMetni">
    <w:name w:val="Placeholder Text"/>
    <w:basedOn w:val="VarsaylanParagrafYazTipi"/>
    <w:uiPriority w:val="99"/>
    <w:semiHidden/>
    <w:rsid w:val="008361DF"/>
    <w:rPr>
      <w:color w:val="808080"/>
    </w:rPr>
  </w:style>
  <w:style w:type="table" w:styleId="TabloKlavuzu">
    <w:name w:val="Table Grid"/>
    <w:basedOn w:val="NormalTablo"/>
    <w:uiPriority w:val="59"/>
    <w:rsid w:val="00C65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82ECE"/>
    <w:pPr>
      <w:spacing w:after="200" w:line="276" w:lineRule="auto"/>
      <w:ind w:left="720"/>
      <w:contextualSpacing/>
    </w:pPr>
    <w:rPr>
      <w:rFonts w:asciiTheme="minorHAnsi" w:eastAsiaTheme="minorHAnsi" w:hAnsiTheme="minorHAnsi" w:cstheme="minorBidi"/>
      <w:sz w:val="22"/>
      <w:szCs w:val="22"/>
      <w:lang w:eastAsia="en-US"/>
    </w:rPr>
  </w:style>
  <w:style w:type="paragraph" w:styleId="TBal">
    <w:name w:val="TOC Heading"/>
    <w:basedOn w:val="Balk1"/>
    <w:next w:val="Normal"/>
    <w:uiPriority w:val="39"/>
    <w:unhideWhenUsed/>
    <w:qFormat/>
    <w:rsid w:val="0053721A"/>
    <w:pPr>
      <w:keepLines/>
      <w:widowControl/>
      <w:tabs>
        <w:tab w:val="clear" w:pos="360"/>
      </w:tabs>
      <w:autoSpaceDE/>
      <w:autoSpaceDN/>
      <w:spacing w:after="0" w:line="276" w:lineRule="auto"/>
      <w:outlineLvl w:val="9"/>
    </w:pPr>
    <w:rPr>
      <w:rFonts w:asciiTheme="majorHAnsi" w:eastAsiaTheme="majorEastAsia" w:hAnsiTheme="majorHAnsi" w:cstheme="majorBidi"/>
      <w:color w:val="365F91" w:themeColor="accent1" w:themeShade="BF"/>
      <w:kern w:val="0"/>
      <w:lang w:eastAsia="tr-TR"/>
    </w:rPr>
  </w:style>
  <w:style w:type="paragraph" w:styleId="GvdeMetniGirintisi2">
    <w:name w:val="Body Text Indent 2"/>
    <w:basedOn w:val="Normal"/>
    <w:link w:val="GvdeMetniGirintisi2Char"/>
    <w:uiPriority w:val="99"/>
    <w:semiHidden/>
    <w:unhideWhenUsed/>
    <w:rsid w:val="00AB5931"/>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AB5931"/>
    <w:rPr>
      <w:rFonts w:ascii="Times New Roman" w:eastAsia="Times New Roman" w:hAnsi="Times New Roman" w:cs="Times New Roman"/>
      <w:sz w:val="24"/>
      <w:szCs w:val="24"/>
      <w:lang w:eastAsia="tr-TR"/>
    </w:rPr>
  </w:style>
  <w:style w:type="paragraph" w:customStyle="1" w:styleId="3-normalyaz">
    <w:name w:val="3-normalyaz"/>
    <w:basedOn w:val="Normal"/>
    <w:rsid w:val="007D0876"/>
    <w:pPr>
      <w:spacing w:before="100" w:beforeAutospacing="1" w:after="100" w:afterAutospacing="1"/>
    </w:pPr>
  </w:style>
  <w:style w:type="character" w:customStyle="1" w:styleId="apple-converted-space">
    <w:name w:val="apple-converted-space"/>
    <w:basedOn w:val="VarsaylanParagrafYazTipi"/>
    <w:rsid w:val="007D0876"/>
  </w:style>
  <w:style w:type="paragraph" w:customStyle="1" w:styleId="BOLUMALTBASLIGI">
    <w:name w:val="BOLUM ALT BASLIGI"/>
    <w:rsid w:val="00EF6AD3"/>
    <w:pPr>
      <w:numPr>
        <w:numId w:val="10"/>
      </w:numPr>
      <w:spacing w:before="240" w:after="240" w:line="240" w:lineRule="auto"/>
    </w:pPr>
    <w:rPr>
      <w:rFonts w:ascii="Times New Roman" w:eastAsia="Times New Roman" w:hAnsi="Times New Roman" w:cs="Times New Roman"/>
      <w:b/>
      <w:noProo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5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C57870"/>
    <w:pPr>
      <w:keepNext/>
      <w:widowControl w:val="0"/>
      <w:tabs>
        <w:tab w:val="left" w:pos="360"/>
      </w:tabs>
      <w:autoSpaceDE w:val="0"/>
      <w:autoSpaceDN w:val="0"/>
      <w:spacing w:before="480" w:after="300" w:line="360" w:lineRule="auto"/>
      <w:jc w:val="center"/>
      <w:outlineLvl w:val="0"/>
    </w:pPr>
    <w:rPr>
      <w:rFonts w:cs="Arial"/>
      <w:b/>
      <w:bCs/>
      <w:kern w:val="28"/>
      <w:szCs w:val="28"/>
      <w:lang w:eastAsia="en-US"/>
    </w:rPr>
  </w:style>
  <w:style w:type="paragraph" w:styleId="Balk2">
    <w:name w:val="heading 2"/>
    <w:basedOn w:val="Normal"/>
    <w:next w:val="Normal"/>
    <w:link w:val="Balk2Char"/>
    <w:autoRedefine/>
    <w:qFormat/>
    <w:rsid w:val="00C57870"/>
    <w:pPr>
      <w:keepNext/>
      <w:numPr>
        <w:numId w:val="6"/>
      </w:numPr>
      <w:spacing w:before="240" w:after="240"/>
      <w:ind w:left="360"/>
      <w:outlineLvl w:val="1"/>
    </w:pPr>
    <w:rPr>
      <w:rFonts w:cs="Arial"/>
      <w:b/>
      <w:bCs/>
      <w:color w:val="000000"/>
      <w:szCs w:val="16"/>
    </w:rPr>
  </w:style>
  <w:style w:type="paragraph" w:styleId="Balk3">
    <w:name w:val="heading 3"/>
    <w:basedOn w:val="Normal"/>
    <w:next w:val="Normal"/>
    <w:link w:val="Balk3Char"/>
    <w:autoRedefine/>
    <w:qFormat/>
    <w:rsid w:val="0071243E"/>
    <w:pPr>
      <w:keepNext/>
      <w:numPr>
        <w:ilvl w:val="1"/>
        <w:numId w:val="7"/>
      </w:numPr>
      <w:spacing w:before="240" w:after="240" w:line="360" w:lineRule="auto"/>
      <w:ind w:left="792"/>
      <w:outlineLvl w:val="2"/>
    </w:pPr>
    <w:rPr>
      <w:rFonts w:cs="Arial"/>
      <w:b/>
      <w:bCs/>
      <w:szCs w:val="16"/>
    </w:rPr>
  </w:style>
  <w:style w:type="paragraph" w:styleId="Balk4">
    <w:name w:val="heading 4"/>
    <w:basedOn w:val="Normal"/>
    <w:next w:val="Normal"/>
    <w:link w:val="Balk4Char"/>
    <w:autoRedefine/>
    <w:qFormat/>
    <w:rsid w:val="008129B1"/>
    <w:pPr>
      <w:keepNext/>
      <w:numPr>
        <w:ilvl w:val="1"/>
        <w:numId w:val="8"/>
      </w:numPr>
      <w:spacing w:before="240" w:after="240"/>
      <w:jc w:val="both"/>
      <w:outlineLvl w:val="3"/>
    </w:pPr>
    <w:rPr>
      <w:rFonts w:cs="Arial"/>
      <w:b/>
      <w:bCs/>
      <w:szCs w:val="16"/>
    </w:rPr>
  </w:style>
  <w:style w:type="paragraph" w:styleId="Balk5">
    <w:name w:val="heading 5"/>
    <w:basedOn w:val="Balk2"/>
    <w:next w:val="Normal"/>
    <w:link w:val="Balk5Char"/>
    <w:autoRedefine/>
    <w:qFormat/>
    <w:rsid w:val="003B56C4"/>
    <w:pPr>
      <w:widowControl w:val="0"/>
      <w:numPr>
        <w:ilvl w:val="1"/>
        <w:numId w:val="3"/>
      </w:numPr>
      <w:tabs>
        <w:tab w:val="left" w:pos="3240"/>
      </w:tabs>
      <w:autoSpaceDE w:val="0"/>
      <w:autoSpaceDN w:val="0"/>
      <w:spacing w:after="60" w:line="360" w:lineRule="auto"/>
      <w:jc w:val="both"/>
      <w:outlineLvl w:val="4"/>
    </w:pPr>
    <w:rPr>
      <w:b w:val="0"/>
      <w:szCs w:val="22"/>
      <w:lang w:eastAsia="en-US"/>
    </w:rPr>
  </w:style>
  <w:style w:type="paragraph" w:styleId="Balk6">
    <w:name w:val="heading 6"/>
    <w:basedOn w:val="Balk1"/>
    <w:next w:val="Normal"/>
    <w:link w:val="Balk6Char"/>
    <w:autoRedefine/>
    <w:qFormat/>
    <w:rsid w:val="00C57870"/>
    <w:pPr>
      <w:numPr>
        <w:numId w:val="4"/>
      </w:numPr>
      <w:tabs>
        <w:tab w:val="left" w:pos="3960"/>
      </w:tabs>
      <w:spacing w:before="240" w:after="60"/>
      <w:ind w:left="360"/>
      <w:jc w:val="left"/>
      <w:outlineLvl w:val="5"/>
    </w:pPr>
    <w:rPr>
      <w:iCs/>
      <w:szCs w:val="22"/>
    </w:rPr>
  </w:style>
  <w:style w:type="paragraph" w:styleId="Balk7">
    <w:name w:val="heading 7"/>
    <w:basedOn w:val="Normal"/>
    <w:next w:val="Normal"/>
    <w:link w:val="Balk7Char"/>
    <w:qFormat/>
    <w:rsid w:val="004328B1"/>
    <w:pPr>
      <w:widowControl w:val="0"/>
      <w:tabs>
        <w:tab w:val="left" w:pos="4680"/>
      </w:tabs>
      <w:autoSpaceDE w:val="0"/>
      <w:autoSpaceDN w:val="0"/>
      <w:spacing w:before="240" w:after="60"/>
      <w:outlineLvl w:val="6"/>
    </w:pPr>
    <w:rPr>
      <w:rFonts w:ascii="Arial" w:hAnsi="Arial" w:cs="Arial"/>
      <w:sz w:val="20"/>
      <w:szCs w:val="20"/>
      <w:lang w:eastAsia="en-US"/>
    </w:rPr>
  </w:style>
  <w:style w:type="paragraph" w:styleId="Balk8">
    <w:name w:val="heading 8"/>
    <w:basedOn w:val="Normal"/>
    <w:next w:val="Normal"/>
    <w:link w:val="Balk8Char"/>
    <w:qFormat/>
    <w:rsid w:val="004328B1"/>
    <w:pPr>
      <w:widowControl w:val="0"/>
      <w:tabs>
        <w:tab w:val="left" w:pos="5400"/>
      </w:tabs>
      <w:autoSpaceDE w:val="0"/>
      <w:autoSpaceDN w:val="0"/>
      <w:spacing w:before="240" w:after="60"/>
      <w:outlineLvl w:val="7"/>
    </w:pPr>
    <w:rPr>
      <w:rFonts w:ascii="Arial" w:hAnsi="Arial" w:cs="Arial"/>
      <w:i/>
      <w:iCs/>
      <w:sz w:val="20"/>
      <w:szCs w:val="20"/>
      <w:lang w:eastAsia="en-US"/>
    </w:rPr>
  </w:style>
  <w:style w:type="paragraph" w:styleId="Balk9">
    <w:name w:val="heading 9"/>
    <w:basedOn w:val="Normal"/>
    <w:next w:val="Normal"/>
    <w:link w:val="Balk9Char"/>
    <w:qFormat/>
    <w:rsid w:val="004328B1"/>
    <w:pPr>
      <w:widowControl w:val="0"/>
      <w:tabs>
        <w:tab w:val="left" w:pos="6120"/>
      </w:tabs>
      <w:autoSpaceDE w:val="0"/>
      <w:autoSpaceDN w:val="0"/>
      <w:spacing w:before="240" w:after="60"/>
      <w:outlineLvl w:val="8"/>
    </w:pPr>
    <w:rPr>
      <w:rFonts w:ascii="Arial" w:hAnsi="Arial" w:cs="Arial"/>
      <w:b/>
      <w:bCs/>
      <w:i/>
      <w:iCs/>
      <w:sz w:val="18"/>
      <w:szCs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57870"/>
    <w:rPr>
      <w:rFonts w:ascii="Times New Roman" w:eastAsia="Times New Roman" w:hAnsi="Times New Roman" w:cs="Arial"/>
      <w:b/>
      <w:bCs/>
      <w:kern w:val="28"/>
      <w:sz w:val="24"/>
      <w:szCs w:val="28"/>
    </w:rPr>
  </w:style>
  <w:style w:type="character" w:customStyle="1" w:styleId="Balk2Char">
    <w:name w:val="Başlık 2 Char"/>
    <w:basedOn w:val="VarsaylanParagrafYazTipi"/>
    <w:link w:val="Balk2"/>
    <w:rsid w:val="00C57870"/>
    <w:rPr>
      <w:rFonts w:ascii="Times New Roman" w:eastAsia="Times New Roman" w:hAnsi="Times New Roman" w:cs="Arial"/>
      <w:b/>
      <w:bCs/>
      <w:color w:val="000000"/>
      <w:sz w:val="24"/>
      <w:szCs w:val="16"/>
      <w:lang w:eastAsia="tr-TR"/>
    </w:rPr>
  </w:style>
  <w:style w:type="character" w:customStyle="1" w:styleId="Balk3Char">
    <w:name w:val="Başlık 3 Char"/>
    <w:basedOn w:val="VarsaylanParagrafYazTipi"/>
    <w:link w:val="Balk3"/>
    <w:rsid w:val="0071243E"/>
    <w:rPr>
      <w:rFonts w:ascii="Times New Roman" w:eastAsia="Times New Roman" w:hAnsi="Times New Roman" w:cs="Arial"/>
      <w:b/>
      <w:bCs/>
      <w:sz w:val="24"/>
      <w:szCs w:val="16"/>
      <w:lang w:eastAsia="tr-TR"/>
    </w:rPr>
  </w:style>
  <w:style w:type="character" w:customStyle="1" w:styleId="Balk4Char">
    <w:name w:val="Başlık 4 Char"/>
    <w:basedOn w:val="VarsaylanParagrafYazTipi"/>
    <w:link w:val="Balk4"/>
    <w:rsid w:val="008129B1"/>
    <w:rPr>
      <w:rFonts w:ascii="Times New Roman" w:eastAsia="Times New Roman" w:hAnsi="Times New Roman" w:cs="Arial"/>
      <w:b/>
      <w:bCs/>
      <w:sz w:val="24"/>
      <w:szCs w:val="16"/>
      <w:lang w:eastAsia="tr-TR"/>
    </w:rPr>
  </w:style>
  <w:style w:type="character" w:customStyle="1" w:styleId="Balk5Char">
    <w:name w:val="Başlık 5 Char"/>
    <w:basedOn w:val="VarsaylanParagrafYazTipi"/>
    <w:link w:val="Balk5"/>
    <w:rsid w:val="003B56C4"/>
    <w:rPr>
      <w:rFonts w:ascii="Times New Roman" w:eastAsia="Times New Roman" w:hAnsi="Times New Roman" w:cs="Arial"/>
      <w:bCs/>
      <w:color w:val="000000"/>
      <w:sz w:val="24"/>
    </w:rPr>
  </w:style>
  <w:style w:type="character" w:customStyle="1" w:styleId="Balk6Char">
    <w:name w:val="Başlık 6 Char"/>
    <w:basedOn w:val="VarsaylanParagrafYazTipi"/>
    <w:link w:val="Balk6"/>
    <w:rsid w:val="00C57870"/>
    <w:rPr>
      <w:rFonts w:ascii="Times New Roman" w:eastAsia="Times New Roman" w:hAnsi="Times New Roman" w:cs="Arial"/>
      <w:b/>
      <w:bCs/>
      <w:iCs/>
      <w:kern w:val="28"/>
      <w:sz w:val="24"/>
    </w:rPr>
  </w:style>
  <w:style w:type="character" w:customStyle="1" w:styleId="Balk7Char">
    <w:name w:val="Başlık 7 Char"/>
    <w:basedOn w:val="VarsaylanParagrafYazTipi"/>
    <w:link w:val="Balk7"/>
    <w:rsid w:val="004328B1"/>
    <w:rPr>
      <w:rFonts w:ascii="Arial" w:eastAsia="Times New Roman" w:hAnsi="Arial" w:cs="Arial"/>
      <w:sz w:val="20"/>
      <w:szCs w:val="20"/>
    </w:rPr>
  </w:style>
  <w:style w:type="character" w:customStyle="1" w:styleId="Balk8Char">
    <w:name w:val="Başlık 8 Char"/>
    <w:basedOn w:val="VarsaylanParagrafYazTipi"/>
    <w:link w:val="Balk8"/>
    <w:rsid w:val="004328B1"/>
    <w:rPr>
      <w:rFonts w:ascii="Arial" w:eastAsia="Times New Roman" w:hAnsi="Arial" w:cs="Arial"/>
      <w:i/>
      <w:iCs/>
      <w:sz w:val="20"/>
      <w:szCs w:val="20"/>
    </w:rPr>
  </w:style>
  <w:style w:type="character" w:customStyle="1" w:styleId="Balk9Char">
    <w:name w:val="Başlık 9 Char"/>
    <w:basedOn w:val="VarsaylanParagrafYazTipi"/>
    <w:link w:val="Balk9"/>
    <w:rsid w:val="004328B1"/>
    <w:rPr>
      <w:rFonts w:ascii="Arial" w:eastAsia="Times New Roman" w:hAnsi="Arial" w:cs="Arial"/>
      <w:b/>
      <w:bCs/>
      <w:i/>
      <w:iCs/>
      <w:sz w:val="18"/>
      <w:szCs w:val="18"/>
    </w:rPr>
  </w:style>
  <w:style w:type="paragraph" w:styleId="GvdeMetniGirintisi">
    <w:name w:val="Body Text Indent"/>
    <w:basedOn w:val="Normal"/>
    <w:link w:val="GvdeMetniGirintisiChar"/>
    <w:rsid w:val="004328B1"/>
    <w:pPr>
      <w:widowControl w:val="0"/>
      <w:shd w:val="clear" w:color="auto" w:fill="FFFFFF"/>
      <w:tabs>
        <w:tab w:val="num" w:pos="0"/>
      </w:tabs>
      <w:autoSpaceDE w:val="0"/>
      <w:autoSpaceDN w:val="0"/>
      <w:jc w:val="both"/>
    </w:pPr>
    <w:rPr>
      <w:lang w:eastAsia="en-US"/>
    </w:rPr>
  </w:style>
  <w:style w:type="character" w:customStyle="1" w:styleId="GvdeMetniGirintisiChar">
    <w:name w:val="Gövde Metni Girintisi Char"/>
    <w:basedOn w:val="VarsaylanParagrafYazTipi"/>
    <w:link w:val="GvdeMetniGirintisi"/>
    <w:rsid w:val="004328B1"/>
    <w:rPr>
      <w:rFonts w:ascii="Times New Roman" w:eastAsia="Times New Roman" w:hAnsi="Times New Roman" w:cs="Times New Roman"/>
      <w:sz w:val="24"/>
      <w:szCs w:val="24"/>
      <w:shd w:val="clear" w:color="auto" w:fill="FFFFFF"/>
    </w:rPr>
  </w:style>
  <w:style w:type="character" w:styleId="DipnotBavurusu">
    <w:name w:val="footnote reference"/>
    <w:basedOn w:val="VarsaylanParagrafYazTipi"/>
    <w:semiHidden/>
    <w:rsid w:val="004328B1"/>
    <w:rPr>
      <w:vertAlign w:val="superscript"/>
    </w:rPr>
  </w:style>
  <w:style w:type="paragraph" w:styleId="NormalWeb">
    <w:name w:val="Normal (Web)"/>
    <w:basedOn w:val="Normal"/>
    <w:rsid w:val="004328B1"/>
    <w:pPr>
      <w:spacing w:before="100" w:beforeAutospacing="1" w:after="100" w:afterAutospacing="1"/>
    </w:pPr>
    <w:rPr>
      <w:lang w:val="en-US" w:eastAsia="en-US"/>
    </w:rPr>
  </w:style>
  <w:style w:type="paragraph" w:styleId="DipnotMetni">
    <w:name w:val="footnote text"/>
    <w:basedOn w:val="Normal"/>
    <w:link w:val="DipnotMetniChar"/>
    <w:semiHidden/>
    <w:rsid w:val="004328B1"/>
    <w:pPr>
      <w:widowControl w:val="0"/>
      <w:autoSpaceDE w:val="0"/>
      <w:autoSpaceDN w:val="0"/>
    </w:pPr>
    <w:rPr>
      <w:sz w:val="20"/>
      <w:szCs w:val="20"/>
      <w:lang w:eastAsia="en-US"/>
    </w:rPr>
  </w:style>
  <w:style w:type="character" w:customStyle="1" w:styleId="DipnotMetniChar">
    <w:name w:val="Dipnot Metni Char"/>
    <w:basedOn w:val="VarsaylanParagrafYazTipi"/>
    <w:link w:val="DipnotMetni"/>
    <w:semiHidden/>
    <w:rsid w:val="004328B1"/>
    <w:rPr>
      <w:rFonts w:ascii="Times New Roman" w:eastAsia="Times New Roman" w:hAnsi="Times New Roman" w:cs="Times New Roman"/>
      <w:sz w:val="20"/>
      <w:szCs w:val="20"/>
    </w:rPr>
  </w:style>
  <w:style w:type="character" w:styleId="Kpr">
    <w:name w:val="Hyperlink"/>
    <w:basedOn w:val="VarsaylanParagrafYazTipi"/>
    <w:uiPriority w:val="99"/>
    <w:rsid w:val="004328B1"/>
    <w:rPr>
      <w:color w:val="0000FF"/>
      <w:u w:val="single"/>
    </w:rPr>
  </w:style>
  <w:style w:type="paragraph" w:styleId="GvdeMetni2">
    <w:name w:val="Body Text 2"/>
    <w:basedOn w:val="Normal"/>
    <w:link w:val="GvdeMetni2Char"/>
    <w:rsid w:val="004328B1"/>
    <w:pPr>
      <w:jc w:val="both"/>
    </w:pPr>
    <w:rPr>
      <w:color w:val="FF0000"/>
      <w:lang w:eastAsia="en-US"/>
    </w:rPr>
  </w:style>
  <w:style w:type="character" w:customStyle="1" w:styleId="GvdeMetni2Char">
    <w:name w:val="Gövde Metni 2 Char"/>
    <w:basedOn w:val="VarsaylanParagrafYazTipi"/>
    <w:link w:val="GvdeMetni2"/>
    <w:rsid w:val="004328B1"/>
    <w:rPr>
      <w:rFonts w:ascii="Times New Roman" w:eastAsia="Times New Roman" w:hAnsi="Times New Roman" w:cs="Times New Roman"/>
      <w:color w:val="FF0000"/>
      <w:sz w:val="24"/>
      <w:szCs w:val="24"/>
    </w:rPr>
  </w:style>
  <w:style w:type="paragraph" w:styleId="GvdeMetni">
    <w:name w:val="Body Text"/>
    <w:basedOn w:val="Normal"/>
    <w:link w:val="GvdeMetniChar"/>
    <w:rsid w:val="004328B1"/>
    <w:pPr>
      <w:shd w:val="clear" w:color="auto" w:fill="FFFFFF"/>
      <w:tabs>
        <w:tab w:val="num" w:pos="567"/>
      </w:tabs>
    </w:pPr>
    <w:rPr>
      <w:b/>
      <w:bCs/>
      <w:color w:val="FF0000"/>
    </w:rPr>
  </w:style>
  <w:style w:type="character" w:customStyle="1" w:styleId="GvdeMetniChar">
    <w:name w:val="Gövde Metni Char"/>
    <w:basedOn w:val="VarsaylanParagrafYazTipi"/>
    <w:link w:val="GvdeMetni"/>
    <w:rsid w:val="004328B1"/>
    <w:rPr>
      <w:rFonts w:ascii="Times New Roman" w:eastAsia="Times New Roman" w:hAnsi="Times New Roman" w:cs="Times New Roman"/>
      <w:b/>
      <w:bCs/>
      <w:color w:val="FF0000"/>
      <w:sz w:val="24"/>
      <w:szCs w:val="24"/>
      <w:shd w:val="clear" w:color="auto" w:fill="FFFFFF"/>
      <w:lang w:eastAsia="tr-TR"/>
    </w:rPr>
  </w:style>
  <w:style w:type="character" w:styleId="Gl">
    <w:name w:val="Strong"/>
    <w:basedOn w:val="VarsaylanParagrafYazTipi"/>
    <w:qFormat/>
    <w:rsid w:val="004328B1"/>
    <w:rPr>
      <w:b/>
      <w:bCs/>
    </w:rPr>
  </w:style>
  <w:style w:type="paragraph" w:styleId="Altbilgi">
    <w:name w:val="footer"/>
    <w:basedOn w:val="Normal"/>
    <w:link w:val="AltbilgiChar"/>
    <w:uiPriority w:val="99"/>
    <w:rsid w:val="004328B1"/>
    <w:pPr>
      <w:tabs>
        <w:tab w:val="center" w:pos="4536"/>
        <w:tab w:val="right" w:pos="9072"/>
      </w:tabs>
    </w:pPr>
  </w:style>
  <w:style w:type="character" w:customStyle="1" w:styleId="AltbilgiChar">
    <w:name w:val="Altbilgi Char"/>
    <w:basedOn w:val="VarsaylanParagrafYazTipi"/>
    <w:link w:val="Altbilgi"/>
    <w:uiPriority w:val="99"/>
    <w:rsid w:val="004328B1"/>
    <w:rPr>
      <w:rFonts w:ascii="Times New Roman" w:eastAsia="Times New Roman" w:hAnsi="Times New Roman" w:cs="Times New Roman"/>
      <w:sz w:val="24"/>
      <w:szCs w:val="24"/>
      <w:lang w:eastAsia="tr-TR"/>
    </w:rPr>
  </w:style>
  <w:style w:type="character" w:styleId="SayfaNumaras">
    <w:name w:val="page number"/>
    <w:basedOn w:val="VarsaylanParagrafYazTipi"/>
    <w:rsid w:val="004328B1"/>
  </w:style>
  <w:style w:type="paragraph" w:styleId="BelgeBalantlar">
    <w:name w:val="Document Map"/>
    <w:basedOn w:val="Normal"/>
    <w:link w:val="BelgeBalantlarChar"/>
    <w:semiHidden/>
    <w:rsid w:val="004328B1"/>
    <w:pPr>
      <w:shd w:val="clear" w:color="auto" w:fill="000080"/>
    </w:pPr>
    <w:rPr>
      <w:rFonts w:ascii="Tahoma" w:hAnsi="Tahoma" w:cs="Tahoma"/>
    </w:rPr>
  </w:style>
  <w:style w:type="character" w:customStyle="1" w:styleId="BelgeBalantlarChar">
    <w:name w:val="Belge Bağlantıları Char"/>
    <w:basedOn w:val="VarsaylanParagrafYazTipi"/>
    <w:link w:val="BelgeBalantlar"/>
    <w:semiHidden/>
    <w:rsid w:val="004328B1"/>
    <w:rPr>
      <w:rFonts w:ascii="Tahoma" w:eastAsia="Times New Roman" w:hAnsi="Tahoma" w:cs="Tahoma"/>
      <w:sz w:val="24"/>
      <w:szCs w:val="24"/>
      <w:shd w:val="clear" w:color="auto" w:fill="000080"/>
      <w:lang w:eastAsia="tr-TR"/>
    </w:rPr>
  </w:style>
  <w:style w:type="paragraph" w:styleId="GvdeMetniGirintisi3">
    <w:name w:val="Body Text Indent 3"/>
    <w:basedOn w:val="Normal"/>
    <w:link w:val="GvdeMetniGirintisi3Char"/>
    <w:rsid w:val="004328B1"/>
    <w:pPr>
      <w:spacing w:after="120"/>
      <w:ind w:left="283"/>
    </w:pPr>
    <w:rPr>
      <w:sz w:val="16"/>
      <w:szCs w:val="16"/>
    </w:rPr>
  </w:style>
  <w:style w:type="character" w:customStyle="1" w:styleId="GvdeMetniGirintisi3Char">
    <w:name w:val="Gövde Metni Girintisi 3 Char"/>
    <w:basedOn w:val="VarsaylanParagrafYazTipi"/>
    <w:link w:val="GvdeMetniGirintisi3"/>
    <w:rsid w:val="004328B1"/>
    <w:rPr>
      <w:rFonts w:ascii="Times New Roman" w:eastAsia="Times New Roman" w:hAnsi="Times New Roman" w:cs="Times New Roman"/>
      <w:sz w:val="16"/>
      <w:szCs w:val="16"/>
      <w:lang w:eastAsia="tr-TR"/>
    </w:rPr>
  </w:style>
  <w:style w:type="paragraph" w:customStyle="1" w:styleId="ATIFMETNI">
    <w:name w:val="ATIF METNI"/>
    <w:basedOn w:val="GvdeMetniGirintisi"/>
    <w:next w:val="Normal"/>
    <w:autoRedefine/>
    <w:rsid w:val="004328B1"/>
    <w:pPr>
      <w:widowControl/>
      <w:shd w:val="clear" w:color="auto" w:fill="auto"/>
      <w:tabs>
        <w:tab w:val="clear" w:pos="0"/>
        <w:tab w:val="left" w:pos="9000"/>
      </w:tabs>
      <w:autoSpaceDE/>
      <w:autoSpaceDN/>
      <w:spacing w:before="240" w:after="240" w:line="360" w:lineRule="auto"/>
      <w:ind w:right="72"/>
    </w:pPr>
    <w:rPr>
      <w:rFonts w:ascii="Arial" w:hAnsi="Arial" w:cs="Arial"/>
    </w:rPr>
  </w:style>
  <w:style w:type="paragraph" w:customStyle="1" w:styleId="BASLIK">
    <w:name w:val="BASLIK"/>
    <w:rsid w:val="004328B1"/>
    <w:pPr>
      <w:numPr>
        <w:numId w:val="1"/>
      </w:numPr>
      <w:spacing w:before="60" w:after="120" w:line="240" w:lineRule="auto"/>
    </w:pPr>
    <w:rPr>
      <w:rFonts w:ascii="Times New Roman" w:eastAsia="Times New Roman" w:hAnsi="Times New Roman" w:cs="Times New Roman"/>
      <w:b/>
      <w:noProof/>
      <w:sz w:val="24"/>
      <w:szCs w:val="20"/>
    </w:rPr>
  </w:style>
  <w:style w:type="paragraph" w:customStyle="1" w:styleId="BOLUMBASLIGI">
    <w:name w:val="BOLUM BASLIGI"/>
    <w:basedOn w:val="Normal"/>
    <w:rsid w:val="004328B1"/>
    <w:pPr>
      <w:spacing w:before="720" w:after="720"/>
      <w:jc w:val="center"/>
    </w:pPr>
    <w:rPr>
      <w:rFonts w:ascii="Arial" w:hAnsi="Arial" w:cs="Arial"/>
      <w:b/>
      <w:lang w:eastAsia="en-US"/>
    </w:rPr>
  </w:style>
  <w:style w:type="paragraph" w:customStyle="1" w:styleId="BOLUMNUMARALARI">
    <w:name w:val="BOLUM NUMARALARI"/>
    <w:next w:val="Normal"/>
    <w:rsid w:val="004328B1"/>
    <w:pPr>
      <w:numPr>
        <w:numId w:val="2"/>
      </w:numPr>
      <w:spacing w:before="360" w:after="240" w:line="240" w:lineRule="auto"/>
    </w:pPr>
    <w:rPr>
      <w:rFonts w:ascii="Times New Roman" w:eastAsia="Times New Roman" w:hAnsi="Times New Roman" w:cs="Times New Roman"/>
      <w:b/>
      <w:sz w:val="24"/>
      <w:szCs w:val="20"/>
    </w:rPr>
  </w:style>
  <w:style w:type="paragraph" w:customStyle="1" w:styleId="BOLUMNUMARALARI-1">
    <w:name w:val="BOLUM NUMARALARI-1"/>
    <w:basedOn w:val="BOLUMNUMARALARI"/>
    <w:next w:val="Normal"/>
    <w:rsid w:val="004328B1"/>
    <w:pPr>
      <w:numPr>
        <w:ilvl w:val="1"/>
      </w:numPr>
      <w:spacing w:before="240" w:after="120"/>
    </w:pPr>
  </w:style>
  <w:style w:type="paragraph" w:customStyle="1" w:styleId="BOLUMNUMARALARI-2">
    <w:name w:val="BOLUM NUMARALARI-2"/>
    <w:basedOn w:val="BOLUMNUMARALARI"/>
    <w:rsid w:val="004328B1"/>
    <w:pPr>
      <w:numPr>
        <w:ilvl w:val="2"/>
      </w:numPr>
      <w:tabs>
        <w:tab w:val="num" w:pos="1440"/>
      </w:tabs>
      <w:ind w:left="720"/>
    </w:pPr>
  </w:style>
  <w:style w:type="paragraph" w:customStyle="1" w:styleId="BOLUMSAYISI">
    <w:name w:val="BOLUM SAYISI"/>
    <w:basedOn w:val="BOLUMBASLIGI"/>
    <w:rsid w:val="004328B1"/>
    <w:pPr>
      <w:spacing w:line="360" w:lineRule="auto"/>
    </w:pPr>
  </w:style>
  <w:style w:type="paragraph" w:customStyle="1" w:styleId="METIN">
    <w:name w:val="METIN"/>
    <w:basedOn w:val="GvdeMetniGirintisi"/>
    <w:uiPriority w:val="99"/>
    <w:rsid w:val="004328B1"/>
    <w:pPr>
      <w:widowControl/>
      <w:shd w:val="clear" w:color="auto" w:fill="auto"/>
      <w:tabs>
        <w:tab w:val="clear" w:pos="0"/>
      </w:tabs>
      <w:autoSpaceDE/>
      <w:autoSpaceDN/>
      <w:spacing w:before="240" w:after="360"/>
      <w:ind w:firstLine="737"/>
    </w:pPr>
    <w:rPr>
      <w:rFonts w:cs="Arial"/>
    </w:rPr>
  </w:style>
  <w:style w:type="paragraph" w:styleId="T1">
    <w:name w:val="toc 1"/>
    <w:basedOn w:val="Normal"/>
    <w:next w:val="Normal"/>
    <w:autoRedefine/>
    <w:uiPriority w:val="39"/>
    <w:qFormat/>
    <w:rsid w:val="002E01E6"/>
  </w:style>
  <w:style w:type="paragraph" w:styleId="T2">
    <w:name w:val="toc 2"/>
    <w:basedOn w:val="Normal"/>
    <w:next w:val="Normal"/>
    <w:autoRedefine/>
    <w:uiPriority w:val="39"/>
    <w:qFormat/>
    <w:rsid w:val="004328B1"/>
    <w:pPr>
      <w:ind w:left="240"/>
    </w:pPr>
  </w:style>
  <w:style w:type="paragraph" w:styleId="T3">
    <w:name w:val="toc 3"/>
    <w:basedOn w:val="Normal"/>
    <w:next w:val="Normal"/>
    <w:autoRedefine/>
    <w:uiPriority w:val="39"/>
    <w:qFormat/>
    <w:rsid w:val="0053721A"/>
    <w:pPr>
      <w:tabs>
        <w:tab w:val="left" w:pos="1440"/>
        <w:tab w:val="right" w:leader="dot" w:pos="9060"/>
      </w:tabs>
      <w:ind w:left="482"/>
    </w:pPr>
  </w:style>
  <w:style w:type="paragraph" w:styleId="T4">
    <w:name w:val="toc 4"/>
    <w:basedOn w:val="Normal"/>
    <w:next w:val="Normal"/>
    <w:autoRedefine/>
    <w:uiPriority w:val="39"/>
    <w:rsid w:val="004328B1"/>
    <w:pPr>
      <w:ind w:left="720"/>
    </w:pPr>
  </w:style>
  <w:style w:type="paragraph" w:styleId="T5">
    <w:name w:val="toc 5"/>
    <w:basedOn w:val="Normal"/>
    <w:next w:val="Normal"/>
    <w:autoRedefine/>
    <w:uiPriority w:val="39"/>
    <w:rsid w:val="004328B1"/>
    <w:pPr>
      <w:ind w:left="960"/>
    </w:pPr>
  </w:style>
  <w:style w:type="paragraph" w:styleId="T6">
    <w:name w:val="toc 6"/>
    <w:basedOn w:val="Normal"/>
    <w:next w:val="Normal"/>
    <w:autoRedefine/>
    <w:uiPriority w:val="39"/>
    <w:rsid w:val="004328B1"/>
    <w:pPr>
      <w:ind w:left="1200"/>
    </w:pPr>
  </w:style>
  <w:style w:type="paragraph" w:styleId="T7">
    <w:name w:val="toc 7"/>
    <w:basedOn w:val="Normal"/>
    <w:next w:val="Normal"/>
    <w:autoRedefine/>
    <w:uiPriority w:val="39"/>
    <w:rsid w:val="004328B1"/>
    <w:pPr>
      <w:ind w:left="1440"/>
    </w:pPr>
  </w:style>
  <w:style w:type="paragraph" w:styleId="T8">
    <w:name w:val="toc 8"/>
    <w:basedOn w:val="Normal"/>
    <w:next w:val="Normal"/>
    <w:autoRedefine/>
    <w:uiPriority w:val="39"/>
    <w:rsid w:val="004328B1"/>
    <w:pPr>
      <w:ind w:left="1680"/>
    </w:pPr>
  </w:style>
  <w:style w:type="paragraph" w:styleId="T9">
    <w:name w:val="toc 9"/>
    <w:basedOn w:val="Normal"/>
    <w:next w:val="Normal"/>
    <w:autoRedefine/>
    <w:uiPriority w:val="39"/>
    <w:rsid w:val="004328B1"/>
    <w:pPr>
      <w:ind w:left="1920"/>
    </w:pPr>
  </w:style>
  <w:style w:type="paragraph" w:styleId="stbilgi">
    <w:name w:val="header"/>
    <w:basedOn w:val="Normal"/>
    <w:link w:val="stbilgiChar"/>
    <w:uiPriority w:val="99"/>
    <w:rsid w:val="004328B1"/>
    <w:pPr>
      <w:tabs>
        <w:tab w:val="center" w:pos="4536"/>
        <w:tab w:val="right" w:pos="9072"/>
      </w:tabs>
    </w:pPr>
  </w:style>
  <w:style w:type="character" w:customStyle="1" w:styleId="stbilgiChar">
    <w:name w:val="Üstbilgi Char"/>
    <w:basedOn w:val="VarsaylanParagrafYazTipi"/>
    <w:link w:val="stbilgi"/>
    <w:uiPriority w:val="99"/>
    <w:rsid w:val="004328B1"/>
    <w:rPr>
      <w:rFonts w:ascii="Times New Roman" w:eastAsia="Times New Roman" w:hAnsi="Times New Roman" w:cs="Times New Roman"/>
      <w:sz w:val="24"/>
      <w:szCs w:val="24"/>
      <w:lang w:eastAsia="tr-TR"/>
    </w:rPr>
  </w:style>
  <w:style w:type="paragraph" w:customStyle="1" w:styleId="BalonMetni1">
    <w:name w:val="Balon Metni1"/>
    <w:basedOn w:val="Normal"/>
    <w:semiHidden/>
    <w:rsid w:val="004328B1"/>
    <w:rPr>
      <w:rFonts w:ascii="Tahoma" w:hAnsi="Tahoma" w:cs="Tahoma"/>
      <w:sz w:val="16"/>
      <w:szCs w:val="16"/>
    </w:rPr>
  </w:style>
  <w:style w:type="paragraph" w:styleId="GvdeMetni3">
    <w:name w:val="Body Text 3"/>
    <w:basedOn w:val="Normal"/>
    <w:link w:val="GvdeMetni3Char"/>
    <w:rsid w:val="004328B1"/>
    <w:rPr>
      <w:rFonts w:ascii="Arial" w:hAnsi="Arial" w:cs="Arial"/>
      <w:sz w:val="20"/>
    </w:rPr>
  </w:style>
  <w:style w:type="character" w:customStyle="1" w:styleId="GvdeMetni3Char">
    <w:name w:val="Gövde Metni 3 Char"/>
    <w:basedOn w:val="VarsaylanParagrafYazTipi"/>
    <w:link w:val="GvdeMetni3"/>
    <w:rsid w:val="004328B1"/>
    <w:rPr>
      <w:rFonts w:ascii="Arial" w:eastAsia="Times New Roman" w:hAnsi="Arial" w:cs="Arial"/>
      <w:sz w:val="20"/>
      <w:szCs w:val="24"/>
      <w:lang w:eastAsia="tr-TR"/>
    </w:rPr>
  </w:style>
  <w:style w:type="character" w:styleId="zlenenKpr">
    <w:name w:val="FollowedHyperlink"/>
    <w:basedOn w:val="VarsaylanParagrafYazTipi"/>
    <w:rsid w:val="004328B1"/>
    <w:rPr>
      <w:color w:val="800080"/>
      <w:u w:val="single"/>
    </w:rPr>
  </w:style>
  <w:style w:type="paragraph" w:styleId="HTMLncedenBiimlendirilmi">
    <w:name w:val="HTML Preformatted"/>
    <w:basedOn w:val="Normal"/>
    <w:link w:val="HTMLncedenBiimlendirilmiChar"/>
    <w:rsid w:val="00432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ncedenBiimlendirilmiChar">
    <w:name w:val="HTML Önceden Biçimlendirilmiş Char"/>
    <w:basedOn w:val="VarsaylanParagrafYazTipi"/>
    <w:link w:val="HTMLncedenBiimlendirilmi"/>
    <w:rsid w:val="004328B1"/>
    <w:rPr>
      <w:rFonts w:ascii="Arial Unicode MS" w:eastAsia="Arial Unicode MS" w:hAnsi="Arial Unicode MS" w:cs="Arial Unicode MS"/>
      <w:sz w:val="20"/>
      <w:szCs w:val="20"/>
      <w:lang w:val="en-US"/>
    </w:rPr>
  </w:style>
  <w:style w:type="paragraph" w:styleId="ResimYazs">
    <w:name w:val="caption"/>
    <w:basedOn w:val="Normal"/>
    <w:next w:val="Normal"/>
    <w:qFormat/>
    <w:rsid w:val="004328B1"/>
    <w:rPr>
      <w:i/>
      <w:iCs/>
      <w:sz w:val="20"/>
    </w:rPr>
  </w:style>
  <w:style w:type="paragraph" w:styleId="Dizin1">
    <w:name w:val="index 1"/>
    <w:basedOn w:val="Normal"/>
    <w:next w:val="Normal"/>
    <w:autoRedefine/>
    <w:semiHidden/>
    <w:rsid w:val="004328B1"/>
    <w:pPr>
      <w:ind w:left="240" w:hanging="240"/>
    </w:pPr>
  </w:style>
  <w:style w:type="paragraph" w:styleId="DizinBal">
    <w:name w:val="index heading"/>
    <w:basedOn w:val="Normal"/>
    <w:next w:val="Dizin1"/>
    <w:semiHidden/>
    <w:rsid w:val="004328B1"/>
    <w:pPr>
      <w:tabs>
        <w:tab w:val="left" w:pos="720"/>
      </w:tabs>
      <w:jc w:val="both"/>
    </w:pPr>
    <w:rPr>
      <w:sz w:val="22"/>
      <w:szCs w:val="20"/>
      <w:lang w:val="en-GB" w:eastAsia="en-US"/>
    </w:rPr>
  </w:style>
  <w:style w:type="paragraph" w:styleId="BalonMetni">
    <w:name w:val="Balloon Text"/>
    <w:basedOn w:val="Normal"/>
    <w:link w:val="BalonMetniChar"/>
    <w:uiPriority w:val="99"/>
    <w:semiHidden/>
    <w:unhideWhenUsed/>
    <w:rsid w:val="00BF75E3"/>
    <w:rPr>
      <w:rFonts w:ascii="Tahoma" w:hAnsi="Tahoma" w:cs="Tahoma"/>
      <w:sz w:val="16"/>
      <w:szCs w:val="16"/>
    </w:rPr>
  </w:style>
  <w:style w:type="character" w:customStyle="1" w:styleId="BalonMetniChar">
    <w:name w:val="Balon Metni Char"/>
    <w:basedOn w:val="VarsaylanParagrafYazTipi"/>
    <w:link w:val="BalonMetni"/>
    <w:uiPriority w:val="99"/>
    <w:semiHidden/>
    <w:rsid w:val="00BF75E3"/>
    <w:rPr>
      <w:rFonts w:ascii="Tahoma" w:eastAsia="Times New Roman" w:hAnsi="Tahoma" w:cs="Tahoma"/>
      <w:sz w:val="16"/>
      <w:szCs w:val="16"/>
      <w:lang w:eastAsia="tr-TR"/>
    </w:rPr>
  </w:style>
  <w:style w:type="character" w:styleId="YerTutucuMetni">
    <w:name w:val="Placeholder Text"/>
    <w:basedOn w:val="VarsaylanParagrafYazTipi"/>
    <w:uiPriority w:val="99"/>
    <w:semiHidden/>
    <w:rsid w:val="008361DF"/>
    <w:rPr>
      <w:color w:val="808080"/>
    </w:rPr>
  </w:style>
  <w:style w:type="table" w:styleId="TabloKlavuzu">
    <w:name w:val="Table Grid"/>
    <w:basedOn w:val="NormalTablo"/>
    <w:uiPriority w:val="59"/>
    <w:rsid w:val="00C65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82ECE"/>
    <w:pPr>
      <w:spacing w:after="200" w:line="276" w:lineRule="auto"/>
      <w:ind w:left="720"/>
      <w:contextualSpacing/>
    </w:pPr>
    <w:rPr>
      <w:rFonts w:asciiTheme="minorHAnsi" w:eastAsiaTheme="minorHAnsi" w:hAnsiTheme="minorHAnsi" w:cstheme="minorBidi"/>
      <w:sz w:val="22"/>
      <w:szCs w:val="22"/>
      <w:lang w:eastAsia="en-US"/>
    </w:rPr>
  </w:style>
  <w:style w:type="paragraph" w:styleId="TBal">
    <w:name w:val="TOC Heading"/>
    <w:basedOn w:val="Balk1"/>
    <w:next w:val="Normal"/>
    <w:uiPriority w:val="39"/>
    <w:unhideWhenUsed/>
    <w:qFormat/>
    <w:rsid w:val="0053721A"/>
    <w:pPr>
      <w:keepLines/>
      <w:widowControl/>
      <w:tabs>
        <w:tab w:val="clear" w:pos="360"/>
      </w:tabs>
      <w:autoSpaceDE/>
      <w:autoSpaceDN/>
      <w:spacing w:after="0" w:line="276" w:lineRule="auto"/>
      <w:outlineLvl w:val="9"/>
    </w:pPr>
    <w:rPr>
      <w:rFonts w:asciiTheme="majorHAnsi" w:eastAsiaTheme="majorEastAsia" w:hAnsiTheme="majorHAnsi" w:cstheme="majorBidi"/>
      <w:color w:val="365F91" w:themeColor="accent1" w:themeShade="BF"/>
      <w:kern w:val="0"/>
      <w:lang w:eastAsia="tr-TR"/>
    </w:rPr>
  </w:style>
  <w:style w:type="paragraph" w:styleId="GvdeMetniGirintisi2">
    <w:name w:val="Body Text Indent 2"/>
    <w:basedOn w:val="Normal"/>
    <w:link w:val="GvdeMetniGirintisi2Char"/>
    <w:uiPriority w:val="99"/>
    <w:semiHidden/>
    <w:unhideWhenUsed/>
    <w:rsid w:val="00AB5931"/>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AB5931"/>
    <w:rPr>
      <w:rFonts w:ascii="Times New Roman" w:eastAsia="Times New Roman" w:hAnsi="Times New Roman" w:cs="Times New Roman"/>
      <w:sz w:val="24"/>
      <w:szCs w:val="24"/>
      <w:lang w:eastAsia="tr-TR"/>
    </w:rPr>
  </w:style>
  <w:style w:type="paragraph" w:customStyle="1" w:styleId="3-normalyaz">
    <w:name w:val="3-normalyaz"/>
    <w:basedOn w:val="Normal"/>
    <w:rsid w:val="007D0876"/>
    <w:pPr>
      <w:spacing w:before="100" w:beforeAutospacing="1" w:after="100" w:afterAutospacing="1"/>
    </w:pPr>
  </w:style>
  <w:style w:type="character" w:customStyle="1" w:styleId="apple-converted-space">
    <w:name w:val="apple-converted-space"/>
    <w:basedOn w:val="VarsaylanParagrafYazTipi"/>
    <w:rsid w:val="007D0876"/>
  </w:style>
  <w:style w:type="paragraph" w:customStyle="1" w:styleId="BOLUMALTBASLIGI">
    <w:name w:val="BOLUM ALT BASLIGI"/>
    <w:rsid w:val="00EF6AD3"/>
    <w:pPr>
      <w:numPr>
        <w:numId w:val="10"/>
      </w:numPr>
      <w:spacing w:before="240" w:after="240" w:line="240" w:lineRule="auto"/>
    </w:pPr>
    <w:rPr>
      <w:rFonts w:ascii="Times New Roman" w:eastAsia="Times New Roman" w:hAnsi="Times New Roman" w:cs="Times New Roman"/>
      <w:b/>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5250">
      <w:bodyDiv w:val="1"/>
      <w:marLeft w:val="0"/>
      <w:marRight w:val="0"/>
      <w:marTop w:val="0"/>
      <w:marBottom w:val="0"/>
      <w:divBdr>
        <w:top w:val="none" w:sz="0" w:space="0" w:color="auto"/>
        <w:left w:val="none" w:sz="0" w:space="0" w:color="auto"/>
        <w:bottom w:val="none" w:sz="0" w:space="0" w:color="auto"/>
        <w:right w:val="none" w:sz="0" w:space="0" w:color="auto"/>
      </w:divBdr>
    </w:div>
    <w:div w:id="92358336">
      <w:bodyDiv w:val="1"/>
      <w:marLeft w:val="0"/>
      <w:marRight w:val="0"/>
      <w:marTop w:val="0"/>
      <w:marBottom w:val="0"/>
      <w:divBdr>
        <w:top w:val="none" w:sz="0" w:space="0" w:color="auto"/>
        <w:left w:val="none" w:sz="0" w:space="0" w:color="auto"/>
        <w:bottom w:val="none" w:sz="0" w:space="0" w:color="auto"/>
        <w:right w:val="none" w:sz="0" w:space="0" w:color="auto"/>
      </w:divBdr>
    </w:div>
    <w:div w:id="147133019">
      <w:bodyDiv w:val="1"/>
      <w:marLeft w:val="0"/>
      <w:marRight w:val="0"/>
      <w:marTop w:val="0"/>
      <w:marBottom w:val="0"/>
      <w:divBdr>
        <w:top w:val="none" w:sz="0" w:space="0" w:color="auto"/>
        <w:left w:val="none" w:sz="0" w:space="0" w:color="auto"/>
        <w:bottom w:val="none" w:sz="0" w:space="0" w:color="auto"/>
        <w:right w:val="none" w:sz="0" w:space="0" w:color="auto"/>
      </w:divBdr>
    </w:div>
    <w:div w:id="273679632">
      <w:bodyDiv w:val="1"/>
      <w:marLeft w:val="0"/>
      <w:marRight w:val="0"/>
      <w:marTop w:val="0"/>
      <w:marBottom w:val="0"/>
      <w:divBdr>
        <w:top w:val="none" w:sz="0" w:space="0" w:color="auto"/>
        <w:left w:val="none" w:sz="0" w:space="0" w:color="auto"/>
        <w:bottom w:val="none" w:sz="0" w:space="0" w:color="auto"/>
        <w:right w:val="none" w:sz="0" w:space="0" w:color="auto"/>
      </w:divBdr>
    </w:div>
    <w:div w:id="281692964">
      <w:bodyDiv w:val="1"/>
      <w:marLeft w:val="0"/>
      <w:marRight w:val="0"/>
      <w:marTop w:val="0"/>
      <w:marBottom w:val="0"/>
      <w:divBdr>
        <w:top w:val="none" w:sz="0" w:space="0" w:color="auto"/>
        <w:left w:val="none" w:sz="0" w:space="0" w:color="auto"/>
        <w:bottom w:val="none" w:sz="0" w:space="0" w:color="auto"/>
        <w:right w:val="none" w:sz="0" w:space="0" w:color="auto"/>
      </w:divBdr>
    </w:div>
    <w:div w:id="288365091">
      <w:bodyDiv w:val="1"/>
      <w:marLeft w:val="0"/>
      <w:marRight w:val="0"/>
      <w:marTop w:val="0"/>
      <w:marBottom w:val="0"/>
      <w:divBdr>
        <w:top w:val="none" w:sz="0" w:space="0" w:color="auto"/>
        <w:left w:val="none" w:sz="0" w:space="0" w:color="auto"/>
        <w:bottom w:val="none" w:sz="0" w:space="0" w:color="auto"/>
        <w:right w:val="none" w:sz="0" w:space="0" w:color="auto"/>
      </w:divBdr>
    </w:div>
    <w:div w:id="305204626">
      <w:bodyDiv w:val="1"/>
      <w:marLeft w:val="0"/>
      <w:marRight w:val="0"/>
      <w:marTop w:val="0"/>
      <w:marBottom w:val="0"/>
      <w:divBdr>
        <w:top w:val="none" w:sz="0" w:space="0" w:color="auto"/>
        <w:left w:val="none" w:sz="0" w:space="0" w:color="auto"/>
        <w:bottom w:val="none" w:sz="0" w:space="0" w:color="auto"/>
        <w:right w:val="none" w:sz="0" w:space="0" w:color="auto"/>
      </w:divBdr>
    </w:div>
    <w:div w:id="330957507">
      <w:bodyDiv w:val="1"/>
      <w:marLeft w:val="0"/>
      <w:marRight w:val="0"/>
      <w:marTop w:val="0"/>
      <w:marBottom w:val="0"/>
      <w:divBdr>
        <w:top w:val="none" w:sz="0" w:space="0" w:color="auto"/>
        <w:left w:val="none" w:sz="0" w:space="0" w:color="auto"/>
        <w:bottom w:val="none" w:sz="0" w:space="0" w:color="auto"/>
        <w:right w:val="none" w:sz="0" w:space="0" w:color="auto"/>
      </w:divBdr>
    </w:div>
    <w:div w:id="364600948">
      <w:bodyDiv w:val="1"/>
      <w:marLeft w:val="0"/>
      <w:marRight w:val="0"/>
      <w:marTop w:val="0"/>
      <w:marBottom w:val="0"/>
      <w:divBdr>
        <w:top w:val="none" w:sz="0" w:space="0" w:color="auto"/>
        <w:left w:val="none" w:sz="0" w:space="0" w:color="auto"/>
        <w:bottom w:val="none" w:sz="0" w:space="0" w:color="auto"/>
        <w:right w:val="none" w:sz="0" w:space="0" w:color="auto"/>
      </w:divBdr>
    </w:div>
    <w:div w:id="407389834">
      <w:bodyDiv w:val="1"/>
      <w:marLeft w:val="0"/>
      <w:marRight w:val="0"/>
      <w:marTop w:val="0"/>
      <w:marBottom w:val="0"/>
      <w:divBdr>
        <w:top w:val="none" w:sz="0" w:space="0" w:color="auto"/>
        <w:left w:val="none" w:sz="0" w:space="0" w:color="auto"/>
        <w:bottom w:val="none" w:sz="0" w:space="0" w:color="auto"/>
        <w:right w:val="none" w:sz="0" w:space="0" w:color="auto"/>
      </w:divBdr>
    </w:div>
    <w:div w:id="411203371">
      <w:bodyDiv w:val="1"/>
      <w:marLeft w:val="0"/>
      <w:marRight w:val="0"/>
      <w:marTop w:val="0"/>
      <w:marBottom w:val="0"/>
      <w:divBdr>
        <w:top w:val="none" w:sz="0" w:space="0" w:color="auto"/>
        <w:left w:val="none" w:sz="0" w:space="0" w:color="auto"/>
        <w:bottom w:val="none" w:sz="0" w:space="0" w:color="auto"/>
        <w:right w:val="none" w:sz="0" w:space="0" w:color="auto"/>
      </w:divBdr>
    </w:div>
    <w:div w:id="458568100">
      <w:bodyDiv w:val="1"/>
      <w:marLeft w:val="0"/>
      <w:marRight w:val="0"/>
      <w:marTop w:val="0"/>
      <w:marBottom w:val="0"/>
      <w:divBdr>
        <w:top w:val="none" w:sz="0" w:space="0" w:color="auto"/>
        <w:left w:val="none" w:sz="0" w:space="0" w:color="auto"/>
        <w:bottom w:val="none" w:sz="0" w:space="0" w:color="auto"/>
        <w:right w:val="none" w:sz="0" w:space="0" w:color="auto"/>
      </w:divBdr>
    </w:div>
    <w:div w:id="472723550">
      <w:bodyDiv w:val="1"/>
      <w:marLeft w:val="0"/>
      <w:marRight w:val="0"/>
      <w:marTop w:val="0"/>
      <w:marBottom w:val="0"/>
      <w:divBdr>
        <w:top w:val="none" w:sz="0" w:space="0" w:color="auto"/>
        <w:left w:val="none" w:sz="0" w:space="0" w:color="auto"/>
        <w:bottom w:val="none" w:sz="0" w:space="0" w:color="auto"/>
        <w:right w:val="none" w:sz="0" w:space="0" w:color="auto"/>
      </w:divBdr>
    </w:div>
    <w:div w:id="508058265">
      <w:bodyDiv w:val="1"/>
      <w:marLeft w:val="0"/>
      <w:marRight w:val="0"/>
      <w:marTop w:val="0"/>
      <w:marBottom w:val="0"/>
      <w:divBdr>
        <w:top w:val="none" w:sz="0" w:space="0" w:color="auto"/>
        <w:left w:val="none" w:sz="0" w:space="0" w:color="auto"/>
        <w:bottom w:val="none" w:sz="0" w:space="0" w:color="auto"/>
        <w:right w:val="none" w:sz="0" w:space="0" w:color="auto"/>
      </w:divBdr>
    </w:div>
    <w:div w:id="581259235">
      <w:bodyDiv w:val="1"/>
      <w:marLeft w:val="0"/>
      <w:marRight w:val="0"/>
      <w:marTop w:val="0"/>
      <w:marBottom w:val="0"/>
      <w:divBdr>
        <w:top w:val="none" w:sz="0" w:space="0" w:color="auto"/>
        <w:left w:val="none" w:sz="0" w:space="0" w:color="auto"/>
        <w:bottom w:val="none" w:sz="0" w:space="0" w:color="auto"/>
        <w:right w:val="none" w:sz="0" w:space="0" w:color="auto"/>
      </w:divBdr>
    </w:div>
    <w:div w:id="596331825">
      <w:bodyDiv w:val="1"/>
      <w:marLeft w:val="0"/>
      <w:marRight w:val="0"/>
      <w:marTop w:val="0"/>
      <w:marBottom w:val="0"/>
      <w:divBdr>
        <w:top w:val="none" w:sz="0" w:space="0" w:color="auto"/>
        <w:left w:val="none" w:sz="0" w:space="0" w:color="auto"/>
        <w:bottom w:val="none" w:sz="0" w:space="0" w:color="auto"/>
        <w:right w:val="none" w:sz="0" w:space="0" w:color="auto"/>
      </w:divBdr>
    </w:div>
    <w:div w:id="608125313">
      <w:bodyDiv w:val="1"/>
      <w:marLeft w:val="0"/>
      <w:marRight w:val="0"/>
      <w:marTop w:val="0"/>
      <w:marBottom w:val="0"/>
      <w:divBdr>
        <w:top w:val="none" w:sz="0" w:space="0" w:color="auto"/>
        <w:left w:val="none" w:sz="0" w:space="0" w:color="auto"/>
        <w:bottom w:val="none" w:sz="0" w:space="0" w:color="auto"/>
        <w:right w:val="none" w:sz="0" w:space="0" w:color="auto"/>
      </w:divBdr>
    </w:div>
    <w:div w:id="635372482">
      <w:bodyDiv w:val="1"/>
      <w:marLeft w:val="0"/>
      <w:marRight w:val="0"/>
      <w:marTop w:val="0"/>
      <w:marBottom w:val="0"/>
      <w:divBdr>
        <w:top w:val="none" w:sz="0" w:space="0" w:color="auto"/>
        <w:left w:val="none" w:sz="0" w:space="0" w:color="auto"/>
        <w:bottom w:val="none" w:sz="0" w:space="0" w:color="auto"/>
        <w:right w:val="none" w:sz="0" w:space="0" w:color="auto"/>
      </w:divBdr>
    </w:div>
    <w:div w:id="671690332">
      <w:bodyDiv w:val="1"/>
      <w:marLeft w:val="0"/>
      <w:marRight w:val="0"/>
      <w:marTop w:val="0"/>
      <w:marBottom w:val="0"/>
      <w:divBdr>
        <w:top w:val="none" w:sz="0" w:space="0" w:color="auto"/>
        <w:left w:val="none" w:sz="0" w:space="0" w:color="auto"/>
        <w:bottom w:val="none" w:sz="0" w:space="0" w:color="auto"/>
        <w:right w:val="none" w:sz="0" w:space="0" w:color="auto"/>
      </w:divBdr>
    </w:div>
    <w:div w:id="678770710">
      <w:bodyDiv w:val="1"/>
      <w:marLeft w:val="0"/>
      <w:marRight w:val="0"/>
      <w:marTop w:val="0"/>
      <w:marBottom w:val="0"/>
      <w:divBdr>
        <w:top w:val="none" w:sz="0" w:space="0" w:color="auto"/>
        <w:left w:val="none" w:sz="0" w:space="0" w:color="auto"/>
        <w:bottom w:val="none" w:sz="0" w:space="0" w:color="auto"/>
        <w:right w:val="none" w:sz="0" w:space="0" w:color="auto"/>
      </w:divBdr>
    </w:div>
    <w:div w:id="682170154">
      <w:bodyDiv w:val="1"/>
      <w:marLeft w:val="0"/>
      <w:marRight w:val="0"/>
      <w:marTop w:val="0"/>
      <w:marBottom w:val="0"/>
      <w:divBdr>
        <w:top w:val="none" w:sz="0" w:space="0" w:color="auto"/>
        <w:left w:val="none" w:sz="0" w:space="0" w:color="auto"/>
        <w:bottom w:val="none" w:sz="0" w:space="0" w:color="auto"/>
        <w:right w:val="none" w:sz="0" w:space="0" w:color="auto"/>
      </w:divBdr>
    </w:div>
    <w:div w:id="717626713">
      <w:bodyDiv w:val="1"/>
      <w:marLeft w:val="0"/>
      <w:marRight w:val="0"/>
      <w:marTop w:val="0"/>
      <w:marBottom w:val="0"/>
      <w:divBdr>
        <w:top w:val="none" w:sz="0" w:space="0" w:color="auto"/>
        <w:left w:val="none" w:sz="0" w:space="0" w:color="auto"/>
        <w:bottom w:val="none" w:sz="0" w:space="0" w:color="auto"/>
        <w:right w:val="none" w:sz="0" w:space="0" w:color="auto"/>
      </w:divBdr>
    </w:div>
    <w:div w:id="727997591">
      <w:bodyDiv w:val="1"/>
      <w:marLeft w:val="0"/>
      <w:marRight w:val="0"/>
      <w:marTop w:val="0"/>
      <w:marBottom w:val="0"/>
      <w:divBdr>
        <w:top w:val="none" w:sz="0" w:space="0" w:color="auto"/>
        <w:left w:val="none" w:sz="0" w:space="0" w:color="auto"/>
        <w:bottom w:val="none" w:sz="0" w:space="0" w:color="auto"/>
        <w:right w:val="none" w:sz="0" w:space="0" w:color="auto"/>
      </w:divBdr>
    </w:div>
    <w:div w:id="731853699">
      <w:bodyDiv w:val="1"/>
      <w:marLeft w:val="0"/>
      <w:marRight w:val="0"/>
      <w:marTop w:val="0"/>
      <w:marBottom w:val="0"/>
      <w:divBdr>
        <w:top w:val="none" w:sz="0" w:space="0" w:color="auto"/>
        <w:left w:val="none" w:sz="0" w:space="0" w:color="auto"/>
        <w:bottom w:val="none" w:sz="0" w:space="0" w:color="auto"/>
        <w:right w:val="none" w:sz="0" w:space="0" w:color="auto"/>
      </w:divBdr>
    </w:div>
    <w:div w:id="785659348">
      <w:bodyDiv w:val="1"/>
      <w:marLeft w:val="0"/>
      <w:marRight w:val="0"/>
      <w:marTop w:val="0"/>
      <w:marBottom w:val="0"/>
      <w:divBdr>
        <w:top w:val="none" w:sz="0" w:space="0" w:color="auto"/>
        <w:left w:val="none" w:sz="0" w:space="0" w:color="auto"/>
        <w:bottom w:val="none" w:sz="0" w:space="0" w:color="auto"/>
        <w:right w:val="none" w:sz="0" w:space="0" w:color="auto"/>
      </w:divBdr>
    </w:div>
    <w:div w:id="809328515">
      <w:bodyDiv w:val="1"/>
      <w:marLeft w:val="0"/>
      <w:marRight w:val="0"/>
      <w:marTop w:val="0"/>
      <w:marBottom w:val="0"/>
      <w:divBdr>
        <w:top w:val="none" w:sz="0" w:space="0" w:color="auto"/>
        <w:left w:val="none" w:sz="0" w:space="0" w:color="auto"/>
        <w:bottom w:val="none" w:sz="0" w:space="0" w:color="auto"/>
        <w:right w:val="none" w:sz="0" w:space="0" w:color="auto"/>
      </w:divBdr>
    </w:div>
    <w:div w:id="823398652">
      <w:bodyDiv w:val="1"/>
      <w:marLeft w:val="0"/>
      <w:marRight w:val="0"/>
      <w:marTop w:val="0"/>
      <w:marBottom w:val="0"/>
      <w:divBdr>
        <w:top w:val="none" w:sz="0" w:space="0" w:color="auto"/>
        <w:left w:val="none" w:sz="0" w:space="0" w:color="auto"/>
        <w:bottom w:val="none" w:sz="0" w:space="0" w:color="auto"/>
        <w:right w:val="none" w:sz="0" w:space="0" w:color="auto"/>
      </w:divBdr>
    </w:div>
    <w:div w:id="851915501">
      <w:bodyDiv w:val="1"/>
      <w:marLeft w:val="0"/>
      <w:marRight w:val="0"/>
      <w:marTop w:val="0"/>
      <w:marBottom w:val="0"/>
      <w:divBdr>
        <w:top w:val="none" w:sz="0" w:space="0" w:color="auto"/>
        <w:left w:val="none" w:sz="0" w:space="0" w:color="auto"/>
        <w:bottom w:val="none" w:sz="0" w:space="0" w:color="auto"/>
        <w:right w:val="none" w:sz="0" w:space="0" w:color="auto"/>
      </w:divBdr>
    </w:div>
    <w:div w:id="859929538">
      <w:bodyDiv w:val="1"/>
      <w:marLeft w:val="0"/>
      <w:marRight w:val="0"/>
      <w:marTop w:val="0"/>
      <w:marBottom w:val="0"/>
      <w:divBdr>
        <w:top w:val="none" w:sz="0" w:space="0" w:color="auto"/>
        <w:left w:val="none" w:sz="0" w:space="0" w:color="auto"/>
        <w:bottom w:val="none" w:sz="0" w:space="0" w:color="auto"/>
        <w:right w:val="none" w:sz="0" w:space="0" w:color="auto"/>
      </w:divBdr>
    </w:div>
    <w:div w:id="865600601">
      <w:bodyDiv w:val="1"/>
      <w:marLeft w:val="0"/>
      <w:marRight w:val="0"/>
      <w:marTop w:val="0"/>
      <w:marBottom w:val="0"/>
      <w:divBdr>
        <w:top w:val="none" w:sz="0" w:space="0" w:color="auto"/>
        <w:left w:val="none" w:sz="0" w:space="0" w:color="auto"/>
        <w:bottom w:val="none" w:sz="0" w:space="0" w:color="auto"/>
        <w:right w:val="none" w:sz="0" w:space="0" w:color="auto"/>
      </w:divBdr>
    </w:div>
    <w:div w:id="873035973">
      <w:bodyDiv w:val="1"/>
      <w:marLeft w:val="0"/>
      <w:marRight w:val="0"/>
      <w:marTop w:val="0"/>
      <w:marBottom w:val="0"/>
      <w:divBdr>
        <w:top w:val="none" w:sz="0" w:space="0" w:color="auto"/>
        <w:left w:val="none" w:sz="0" w:space="0" w:color="auto"/>
        <w:bottom w:val="none" w:sz="0" w:space="0" w:color="auto"/>
        <w:right w:val="none" w:sz="0" w:space="0" w:color="auto"/>
      </w:divBdr>
    </w:div>
    <w:div w:id="887495125">
      <w:bodyDiv w:val="1"/>
      <w:marLeft w:val="0"/>
      <w:marRight w:val="0"/>
      <w:marTop w:val="0"/>
      <w:marBottom w:val="0"/>
      <w:divBdr>
        <w:top w:val="none" w:sz="0" w:space="0" w:color="auto"/>
        <w:left w:val="none" w:sz="0" w:space="0" w:color="auto"/>
        <w:bottom w:val="none" w:sz="0" w:space="0" w:color="auto"/>
        <w:right w:val="none" w:sz="0" w:space="0" w:color="auto"/>
      </w:divBdr>
    </w:div>
    <w:div w:id="902371678">
      <w:bodyDiv w:val="1"/>
      <w:marLeft w:val="0"/>
      <w:marRight w:val="0"/>
      <w:marTop w:val="0"/>
      <w:marBottom w:val="0"/>
      <w:divBdr>
        <w:top w:val="none" w:sz="0" w:space="0" w:color="auto"/>
        <w:left w:val="none" w:sz="0" w:space="0" w:color="auto"/>
        <w:bottom w:val="none" w:sz="0" w:space="0" w:color="auto"/>
        <w:right w:val="none" w:sz="0" w:space="0" w:color="auto"/>
      </w:divBdr>
    </w:div>
    <w:div w:id="980497498">
      <w:bodyDiv w:val="1"/>
      <w:marLeft w:val="0"/>
      <w:marRight w:val="0"/>
      <w:marTop w:val="0"/>
      <w:marBottom w:val="0"/>
      <w:divBdr>
        <w:top w:val="none" w:sz="0" w:space="0" w:color="auto"/>
        <w:left w:val="none" w:sz="0" w:space="0" w:color="auto"/>
        <w:bottom w:val="none" w:sz="0" w:space="0" w:color="auto"/>
        <w:right w:val="none" w:sz="0" w:space="0" w:color="auto"/>
      </w:divBdr>
    </w:div>
    <w:div w:id="1011831136">
      <w:bodyDiv w:val="1"/>
      <w:marLeft w:val="0"/>
      <w:marRight w:val="0"/>
      <w:marTop w:val="0"/>
      <w:marBottom w:val="0"/>
      <w:divBdr>
        <w:top w:val="none" w:sz="0" w:space="0" w:color="auto"/>
        <w:left w:val="none" w:sz="0" w:space="0" w:color="auto"/>
        <w:bottom w:val="none" w:sz="0" w:space="0" w:color="auto"/>
        <w:right w:val="none" w:sz="0" w:space="0" w:color="auto"/>
      </w:divBdr>
    </w:div>
    <w:div w:id="1023634067">
      <w:bodyDiv w:val="1"/>
      <w:marLeft w:val="0"/>
      <w:marRight w:val="0"/>
      <w:marTop w:val="0"/>
      <w:marBottom w:val="0"/>
      <w:divBdr>
        <w:top w:val="none" w:sz="0" w:space="0" w:color="auto"/>
        <w:left w:val="none" w:sz="0" w:space="0" w:color="auto"/>
        <w:bottom w:val="none" w:sz="0" w:space="0" w:color="auto"/>
        <w:right w:val="none" w:sz="0" w:space="0" w:color="auto"/>
      </w:divBdr>
    </w:div>
    <w:div w:id="1040938973">
      <w:bodyDiv w:val="1"/>
      <w:marLeft w:val="0"/>
      <w:marRight w:val="0"/>
      <w:marTop w:val="0"/>
      <w:marBottom w:val="0"/>
      <w:divBdr>
        <w:top w:val="none" w:sz="0" w:space="0" w:color="auto"/>
        <w:left w:val="none" w:sz="0" w:space="0" w:color="auto"/>
        <w:bottom w:val="none" w:sz="0" w:space="0" w:color="auto"/>
        <w:right w:val="none" w:sz="0" w:space="0" w:color="auto"/>
      </w:divBdr>
    </w:div>
    <w:div w:id="1130174552">
      <w:bodyDiv w:val="1"/>
      <w:marLeft w:val="0"/>
      <w:marRight w:val="0"/>
      <w:marTop w:val="0"/>
      <w:marBottom w:val="0"/>
      <w:divBdr>
        <w:top w:val="none" w:sz="0" w:space="0" w:color="auto"/>
        <w:left w:val="none" w:sz="0" w:space="0" w:color="auto"/>
        <w:bottom w:val="none" w:sz="0" w:space="0" w:color="auto"/>
        <w:right w:val="none" w:sz="0" w:space="0" w:color="auto"/>
      </w:divBdr>
    </w:div>
    <w:div w:id="1194271859">
      <w:bodyDiv w:val="1"/>
      <w:marLeft w:val="0"/>
      <w:marRight w:val="0"/>
      <w:marTop w:val="0"/>
      <w:marBottom w:val="0"/>
      <w:divBdr>
        <w:top w:val="none" w:sz="0" w:space="0" w:color="auto"/>
        <w:left w:val="none" w:sz="0" w:space="0" w:color="auto"/>
        <w:bottom w:val="none" w:sz="0" w:space="0" w:color="auto"/>
        <w:right w:val="none" w:sz="0" w:space="0" w:color="auto"/>
      </w:divBdr>
    </w:div>
    <w:div w:id="1220436828">
      <w:bodyDiv w:val="1"/>
      <w:marLeft w:val="0"/>
      <w:marRight w:val="0"/>
      <w:marTop w:val="0"/>
      <w:marBottom w:val="0"/>
      <w:divBdr>
        <w:top w:val="none" w:sz="0" w:space="0" w:color="auto"/>
        <w:left w:val="none" w:sz="0" w:space="0" w:color="auto"/>
        <w:bottom w:val="none" w:sz="0" w:space="0" w:color="auto"/>
        <w:right w:val="none" w:sz="0" w:space="0" w:color="auto"/>
      </w:divBdr>
    </w:div>
    <w:div w:id="1292782578">
      <w:bodyDiv w:val="1"/>
      <w:marLeft w:val="0"/>
      <w:marRight w:val="0"/>
      <w:marTop w:val="0"/>
      <w:marBottom w:val="0"/>
      <w:divBdr>
        <w:top w:val="none" w:sz="0" w:space="0" w:color="auto"/>
        <w:left w:val="none" w:sz="0" w:space="0" w:color="auto"/>
        <w:bottom w:val="none" w:sz="0" w:space="0" w:color="auto"/>
        <w:right w:val="none" w:sz="0" w:space="0" w:color="auto"/>
      </w:divBdr>
    </w:div>
    <w:div w:id="1346439696">
      <w:bodyDiv w:val="1"/>
      <w:marLeft w:val="0"/>
      <w:marRight w:val="0"/>
      <w:marTop w:val="0"/>
      <w:marBottom w:val="0"/>
      <w:divBdr>
        <w:top w:val="none" w:sz="0" w:space="0" w:color="auto"/>
        <w:left w:val="none" w:sz="0" w:space="0" w:color="auto"/>
        <w:bottom w:val="none" w:sz="0" w:space="0" w:color="auto"/>
        <w:right w:val="none" w:sz="0" w:space="0" w:color="auto"/>
      </w:divBdr>
    </w:div>
    <w:div w:id="1365717095">
      <w:bodyDiv w:val="1"/>
      <w:marLeft w:val="0"/>
      <w:marRight w:val="0"/>
      <w:marTop w:val="0"/>
      <w:marBottom w:val="0"/>
      <w:divBdr>
        <w:top w:val="none" w:sz="0" w:space="0" w:color="auto"/>
        <w:left w:val="none" w:sz="0" w:space="0" w:color="auto"/>
        <w:bottom w:val="none" w:sz="0" w:space="0" w:color="auto"/>
        <w:right w:val="none" w:sz="0" w:space="0" w:color="auto"/>
      </w:divBdr>
    </w:div>
    <w:div w:id="1377898055">
      <w:bodyDiv w:val="1"/>
      <w:marLeft w:val="0"/>
      <w:marRight w:val="0"/>
      <w:marTop w:val="0"/>
      <w:marBottom w:val="0"/>
      <w:divBdr>
        <w:top w:val="none" w:sz="0" w:space="0" w:color="auto"/>
        <w:left w:val="none" w:sz="0" w:space="0" w:color="auto"/>
        <w:bottom w:val="none" w:sz="0" w:space="0" w:color="auto"/>
        <w:right w:val="none" w:sz="0" w:space="0" w:color="auto"/>
      </w:divBdr>
    </w:div>
    <w:div w:id="1390111378">
      <w:bodyDiv w:val="1"/>
      <w:marLeft w:val="0"/>
      <w:marRight w:val="0"/>
      <w:marTop w:val="0"/>
      <w:marBottom w:val="0"/>
      <w:divBdr>
        <w:top w:val="none" w:sz="0" w:space="0" w:color="auto"/>
        <w:left w:val="none" w:sz="0" w:space="0" w:color="auto"/>
        <w:bottom w:val="none" w:sz="0" w:space="0" w:color="auto"/>
        <w:right w:val="none" w:sz="0" w:space="0" w:color="auto"/>
      </w:divBdr>
    </w:div>
    <w:div w:id="1408069339">
      <w:bodyDiv w:val="1"/>
      <w:marLeft w:val="0"/>
      <w:marRight w:val="0"/>
      <w:marTop w:val="0"/>
      <w:marBottom w:val="0"/>
      <w:divBdr>
        <w:top w:val="none" w:sz="0" w:space="0" w:color="auto"/>
        <w:left w:val="none" w:sz="0" w:space="0" w:color="auto"/>
        <w:bottom w:val="none" w:sz="0" w:space="0" w:color="auto"/>
        <w:right w:val="none" w:sz="0" w:space="0" w:color="auto"/>
      </w:divBdr>
    </w:div>
    <w:div w:id="1538662694">
      <w:bodyDiv w:val="1"/>
      <w:marLeft w:val="0"/>
      <w:marRight w:val="0"/>
      <w:marTop w:val="0"/>
      <w:marBottom w:val="0"/>
      <w:divBdr>
        <w:top w:val="none" w:sz="0" w:space="0" w:color="auto"/>
        <w:left w:val="none" w:sz="0" w:space="0" w:color="auto"/>
        <w:bottom w:val="none" w:sz="0" w:space="0" w:color="auto"/>
        <w:right w:val="none" w:sz="0" w:space="0" w:color="auto"/>
      </w:divBdr>
    </w:div>
    <w:div w:id="1548713056">
      <w:bodyDiv w:val="1"/>
      <w:marLeft w:val="0"/>
      <w:marRight w:val="0"/>
      <w:marTop w:val="0"/>
      <w:marBottom w:val="0"/>
      <w:divBdr>
        <w:top w:val="none" w:sz="0" w:space="0" w:color="auto"/>
        <w:left w:val="none" w:sz="0" w:space="0" w:color="auto"/>
        <w:bottom w:val="none" w:sz="0" w:space="0" w:color="auto"/>
        <w:right w:val="none" w:sz="0" w:space="0" w:color="auto"/>
      </w:divBdr>
    </w:div>
    <w:div w:id="1579244713">
      <w:bodyDiv w:val="1"/>
      <w:marLeft w:val="0"/>
      <w:marRight w:val="0"/>
      <w:marTop w:val="0"/>
      <w:marBottom w:val="0"/>
      <w:divBdr>
        <w:top w:val="none" w:sz="0" w:space="0" w:color="auto"/>
        <w:left w:val="none" w:sz="0" w:space="0" w:color="auto"/>
        <w:bottom w:val="none" w:sz="0" w:space="0" w:color="auto"/>
        <w:right w:val="none" w:sz="0" w:space="0" w:color="auto"/>
      </w:divBdr>
    </w:div>
    <w:div w:id="1611475617">
      <w:bodyDiv w:val="1"/>
      <w:marLeft w:val="0"/>
      <w:marRight w:val="0"/>
      <w:marTop w:val="0"/>
      <w:marBottom w:val="0"/>
      <w:divBdr>
        <w:top w:val="none" w:sz="0" w:space="0" w:color="auto"/>
        <w:left w:val="none" w:sz="0" w:space="0" w:color="auto"/>
        <w:bottom w:val="none" w:sz="0" w:space="0" w:color="auto"/>
        <w:right w:val="none" w:sz="0" w:space="0" w:color="auto"/>
      </w:divBdr>
    </w:div>
    <w:div w:id="1635600565">
      <w:bodyDiv w:val="1"/>
      <w:marLeft w:val="0"/>
      <w:marRight w:val="0"/>
      <w:marTop w:val="0"/>
      <w:marBottom w:val="0"/>
      <w:divBdr>
        <w:top w:val="none" w:sz="0" w:space="0" w:color="auto"/>
        <w:left w:val="none" w:sz="0" w:space="0" w:color="auto"/>
        <w:bottom w:val="none" w:sz="0" w:space="0" w:color="auto"/>
        <w:right w:val="none" w:sz="0" w:space="0" w:color="auto"/>
      </w:divBdr>
    </w:div>
    <w:div w:id="1665353580">
      <w:bodyDiv w:val="1"/>
      <w:marLeft w:val="0"/>
      <w:marRight w:val="0"/>
      <w:marTop w:val="0"/>
      <w:marBottom w:val="0"/>
      <w:divBdr>
        <w:top w:val="none" w:sz="0" w:space="0" w:color="auto"/>
        <w:left w:val="none" w:sz="0" w:space="0" w:color="auto"/>
        <w:bottom w:val="none" w:sz="0" w:space="0" w:color="auto"/>
        <w:right w:val="none" w:sz="0" w:space="0" w:color="auto"/>
      </w:divBdr>
    </w:div>
    <w:div w:id="1685013018">
      <w:bodyDiv w:val="1"/>
      <w:marLeft w:val="0"/>
      <w:marRight w:val="0"/>
      <w:marTop w:val="0"/>
      <w:marBottom w:val="0"/>
      <w:divBdr>
        <w:top w:val="none" w:sz="0" w:space="0" w:color="auto"/>
        <w:left w:val="none" w:sz="0" w:space="0" w:color="auto"/>
        <w:bottom w:val="none" w:sz="0" w:space="0" w:color="auto"/>
        <w:right w:val="none" w:sz="0" w:space="0" w:color="auto"/>
      </w:divBdr>
    </w:div>
    <w:div w:id="1721048134">
      <w:bodyDiv w:val="1"/>
      <w:marLeft w:val="0"/>
      <w:marRight w:val="0"/>
      <w:marTop w:val="0"/>
      <w:marBottom w:val="0"/>
      <w:divBdr>
        <w:top w:val="none" w:sz="0" w:space="0" w:color="auto"/>
        <w:left w:val="none" w:sz="0" w:space="0" w:color="auto"/>
        <w:bottom w:val="none" w:sz="0" w:space="0" w:color="auto"/>
        <w:right w:val="none" w:sz="0" w:space="0" w:color="auto"/>
      </w:divBdr>
    </w:div>
    <w:div w:id="1781610550">
      <w:bodyDiv w:val="1"/>
      <w:marLeft w:val="0"/>
      <w:marRight w:val="0"/>
      <w:marTop w:val="0"/>
      <w:marBottom w:val="0"/>
      <w:divBdr>
        <w:top w:val="none" w:sz="0" w:space="0" w:color="auto"/>
        <w:left w:val="none" w:sz="0" w:space="0" w:color="auto"/>
        <w:bottom w:val="none" w:sz="0" w:space="0" w:color="auto"/>
        <w:right w:val="none" w:sz="0" w:space="0" w:color="auto"/>
      </w:divBdr>
    </w:div>
    <w:div w:id="1846744060">
      <w:bodyDiv w:val="1"/>
      <w:marLeft w:val="0"/>
      <w:marRight w:val="0"/>
      <w:marTop w:val="0"/>
      <w:marBottom w:val="0"/>
      <w:divBdr>
        <w:top w:val="none" w:sz="0" w:space="0" w:color="auto"/>
        <w:left w:val="none" w:sz="0" w:space="0" w:color="auto"/>
        <w:bottom w:val="none" w:sz="0" w:space="0" w:color="auto"/>
        <w:right w:val="none" w:sz="0" w:space="0" w:color="auto"/>
      </w:divBdr>
    </w:div>
    <w:div w:id="1873496247">
      <w:bodyDiv w:val="1"/>
      <w:marLeft w:val="0"/>
      <w:marRight w:val="0"/>
      <w:marTop w:val="0"/>
      <w:marBottom w:val="0"/>
      <w:divBdr>
        <w:top w:val="none" w:sz="0" w:space="0" w:color="auto"/>
        <w:left w:val="none" w:sz="0" w:space="0" w:color="auto"/>
        <w:bottom w:val="none" w:sz="0" w:space="0" w:color="auto"/>
        <w:right w:val="none" w:sz="0" w:space="0" w:color="auto"/>
      </w:divBdr>
    </w:div>
    <w:div w:id="1979142376">
      <w:bodyDiv w:val="1"/>
      <w:marLeft w:val="0"/>
      <w:marRight w:val="0"/>
      <w:marTop w:val="0"/>
      <w:marBottom w:val="0"/>
      <w:divBdr>
        <w:top w:val="none" w:sz="0" w:space="0" w:color="auto"/>
        <w:left w:val="none" w:sz="0" w:space="0" w:color="auto"/>
        <w:bottom w:val="none" w:sz="0" w:space="0" w:color="auto"/>
        <w:right w:val="none" w:sz="0" w:space="0" w:color="auto"/>
      </w:divBdr>
    </w:div>
    <w:div w:id="2035842634">
      <w:bodyDiv w:val="1"/>
      <w:marLeft w:val="0"/>
      <w:marRight w:val="0"/>
      <w:marTop w:val="0"/>
      <w:marBottom w:val="0"/>
      <w:divBdr>
        <w:top w:val="none" w:sz="0" w:space="0" w:color="auto"/>
        <w:left w:val="none" w:sz="0" w:space="0" w:color="auto"/>
        <w:bottom w:val="none" w:sz="0" w:space="0" w:color="auto"/>
        <w:right w:val="none" w:sz="0" w:space="0" w:color="auto"/>
      </w:divBdr>
    </w:div>
    <w:div w:id="2042508666">
      <w:bodyDiv w:val="1"/>
      <w:marLeft w:val="0"/>
      <w:marRight w:val="0"/>
      <w:marTop w:val="0"/>
      <w:marBottom w:val="0"/>
      <w:divBdr>
        <w:top w:val="none" w:sz="0" w:space="0" w:color="auto"/>
        <w:left w:val="none" w:sz="0" w:space="0" w:color="auto"/>
        <w:bottom w:val="none" w:sz="0" w:space="0" w:color="auto"/>
        <w:right w:val="none" w:sz="0" w:space="0" w:color="auto"/>
      </w:divBdr>
    </w:div>
    <w:div w:id="2123189284">
      <w:bodyDiv w:val="1"/>
      <w:marLeft w:val="0"/>
      <w:marRight w:val="0"/>
      <w:marTop w:val="0"/>
      <w:marBottom w:val="0"/>
      <w:divBdr>
        <w:top w:val="none" w:sz="0" w:space="0" w:color="auto"/>
        <w:left w:val="none" w:sz="0" w:space="0" w:color="auto"/>
        <w:bottom w:val="none" w:sz="0" w:space="0" w:color="auto"/>
        <w:right w:val="none" w:sz="0" w:space="0" w:color="auto"/>
      </w:divBdr>
    </w:div>
    <w:div w:id="2126189890">
      <w:bodyDiv w:val="1"/>
      <w:marLeft w:val="0"/>
      <w:marRight w:val="0"/>
      <w:marTop w:val="0"/>
      <w:marBottom w:val="0"/>
      <w:divBdr>
        <w:top w:val="none" w:sz="0" w:space="0" w:color="auto"/>
        <w:left w:val="none" w:sz="0" w:space="0" w:color="auto"/>
        <w:bottom w:val="none" w:sz="0" w:space="0" w:color="auto"/>
        <w:right w:val="none" w:sz="0" w:space="0" w:color="auto"/>
      </w:divBdr>
    </w:div>
    <w:div w:id="213589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petkim.com.tr/UserFiles/file/Yatirimci_Iliskileri/Faaliyet_Raporlari/petkim_faaliyet_raporu_2012.pdf" TargetMode="External"/><Relationship Id="rId13" Type="http://schemas.openxmlformats.org/officeDocument/2006/relationships/hyperlink" Target="http://www.artlantpta.com/index.php/en/customers-area/market" TargetMode="External"/><Relationship Id="rId3" Type="http://schemas.openxmlformats.org/officeDocument/2006/relationships/hyperlink" Target="http://www.wto.org/english/tratop_e/dispu_e/121abr.pdf" TargetMode="External"/><Relationship Id="rId7" Type="http://schemas.openxmlformats.org/officeDocument/2006/relationships/hyperlink" Target="http://www.socar.com.tr/content/petlim-limancilik-ticaret" TargetMode="External"/><Relationship Id="rId12" Type="http://schemas.openxmlformats.org/officeDocument/2006/relationships/hyperlink" Target="http://www.orlen.pl/EN/PressCenter/Pages/PKNORLENbeginsconstructio.aspx" TargetMode="External"/><Relationship Id="rId17" Type="http://schemas.openxmlformats.org/officeDocument/2006/relationships/hyperlink" Target="http://www.indexmundi.com/commodities/?commodity=crude-oil&amp;months=120" TargetMode="External"/><Relationship Id="rId2" Type="http://schemas.openxmlformats.org/officeDocument/2006/relationships/hyperlink" Target="http://www.worldtradelaw.net/reports/wtopanels/argentina-footwearsafeguards(panel).pdf" TargetMode="External"/><Relationship Id="rId16" Type="http://schemas.openxmlformats.org/officeDocument/2006/relationships/hyperlink" Target="http://www.petkim.com.tr/Content.aspx?id=42" TargetMode="External"/><Relationship Id="rId1" Type="http://schemas.openxmlformats.org/officeDocument/2006/relationships/hyperlink" Target="http://www.chemsystems.com/about/cs/news/items/PERP%200910_6_PTA.cfm" TargetMode="External"/><Relationship Id="rId6" Type="http://schemas.openxmlformats.org/officeDocument/2006/relationships/hyperlink" Target="http://www.petkim.com.tr/Sayfa/1/8/KURUMSAL.aspx" TargetMode="External"/><Relationship Id="rId11" Type="http://schemas.openxmlformats.org/officeDocument/2006/relationships/hyperlink" Target="http://www.icis.com/Articles/2012/05/28/9563791/pta+expansions+threaten+margins.html" TargetMode="External"/><Relationship Id="rId5" Type="http://schemas.openxmlformats.org/officeDocument/2006/relationships/hyperlink" Target="http://www.kap.gov.tr/bildirim-sorgulari/bildirim-detayi.aspx?id=172220" TargetMode="External"/><Relationship Id="rId15" Type="http://schemas.openxmlformats.org/officeDocument/2006/relationships/hyperlink" Target="http://www.orlen.pl/EN/InvestorRelations/Documents/rr_2012_en%5b1%5d.pdf" TargetMode="External"/><Relationship Id="rId10" Type="http://schemas.openxmlformats.org/officeDocument/2006/relationships/hyperlink" Target="http://www.ccfei.net/UpFile/Conference/201211141326289766504.pdf" TargetMode="External"/><Relationship Id="rId4" Type="http://schemas.openxmlformats.org/officeDocument/2006/relationships/hyperlink" Target="http://www.ekonomi.gov.tr/upload/B87AC400-C6FE-C450-D3D3ECA03B1D8C4A/T&#252;m%20y&#305;la%20ili&#351;kin%20bilgiler_web.docx" TargetMode="External"/><Relationship Id="rId9" Type="http://schemas.openxmlformats.org/officeDocument/2006/relationships/hyperlink" Target="http://blogs.platts.com/2013/02/08/china-pta/" TargetMode="External"/><Relationship Id="rId14" Type="http://schemas.openxmlformats.org/officeDocument/2006/relationships/hyperlink" Target="http://www.icis.com/Articles/2012/03/30/9546180/portugals-artlant-pta-starts-up-in-lacklustre-market.html"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erverd\ithkorunma\SORUSTURMA%20DOSYALARI\PTA\10.Di&#287;er\Bat&#305;%20Avrupa%20PTA%20&#252;retim%20t&#252;ketim%20Petkim'den%20gele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erverd\ithkorunma\SORUSTURMA%20DOSYALARI\PTA\10.Di&#287;er\crude-oil.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tr-TR" sz="1200"/>
              <a:t>Batı Avrupa PTA Arz ve Talebi </a:t>
            </a:r>
          </a:p>
        </c:rich>
      </c:tx>
      <c:layout/>
      <c:overlay val="0"/>
    </c:title>
    <c:autoTitleDeleted val="0"/>
    <c:plotArea>
      <c:layout/>
      <c:areaChart>
        <c:grouping val="stacked"/>
        <c:varyColors val="0"/>
        <c:ser>
          <c:idx val="6"/>
          <c:order val="3"/>
          <c:tx>
            <c:strRef>
              <c:f>Sayfa2!$B$11</c:f>
              <c:strCache>
                <c:ptCount val="1"/>
                <c:pt idx="0">
                  <c:v>Net İhracat </c:v>
                </c:pt>
              </c:strCache>
            </c:strRef>
          </c:tx>
          <c:spPr>
            <a:solidFill>
              <a:schemeClr val="bg1">
                <a:lumMod val="75000"/>
              </a:schemeClr>
            </a:solidFill>
          </c:spPr>
          <c:cat>
            <c:numRef>
              <c:f>Sayfa2!$C$4:$M$4</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Sayfa2!$C$11:$H$11</c:f>
              <c:numCache>
                <c:formatCode>General</c:formatCode>
                <c:ptCount val="6"/>
                <c:pt idx="0">
                  <c:v>385</c:v>
                </c:pt>
                <c:pt idx="1">
                  <c:v>50</c:v>
                </c:pt>
                <c:pt idx="2">
                  <c:v>72</c:v>
                </c:pt>
                <c:pt idx="3">
                  <c:v>735</c:v>
                </c:pt>
                <c:pt idx="4">
                  <c:v>928</c:v>
                </c:pt>
                <c:pt idx="5">
                  <c:v>872</c:v>
                </c:pt>
              </c:numCache>
            </c:numRef>
          </c:val>
        </c:ser>
        <c:dLbls>
          <c:showLegendKey val="0"/>
          <c:showVal val="0"/>
          <c:showCatName val="0"/>
          <c:showSerName val="0"/>
          <c:showPercent val="0"/>
          <c:showBubbleSize val="0"/>
        </c:dLbls>
        <c:axId val="50766336"/>
        <c:axId val="52636480"/>
      </c:areaChart>
      <c:lineChart>
        <c:grouping val="standard"/>
        <c:varyColors val="0"/>
        <c:ser>
          <c:idx val="2"/>
          <c:order val="0"/>
          <c:tx>
            <c:strRef>
              <c:f>Sayfa2!$B$7</c:f>
              <c:strCache>
                <c:ptCount val="1"/>
                <c:pt idx="0">
                  <c:v>Toplam Kapasite</c:v>
                </c:pt>
              </c:strCache>
            </c:strRef>
          </c:tx>
          <c:spPr>
            <a:ln>
              <a:solidFill>
                <a:schemeClr val="tx1"/>
              </a:solidFill>
            </a:ln>
          </c:spPr>
          <c:marker>
            <c:spPr>
              <a:solidFill>
                <a:schemeClr val="tx1"/>
              </a:solidFill>
              <a:ln>
                <a:solidFill>
                  <a:schemeClr val="tx1"/>
                </a:solidFill>
              </a:ln>
            </c:spPr>
          </c:marker>
          <c:cat>
            <c:numRef>
              <c:f>Sayfa2!$C$4:$M$4</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Sayfa2!$C$7:$H$7</c:f>
              <c:numCache>
                <c:formatCode>General</c:formatCode>
                <c:ptCount val="6"/>
                <c:pt idx="0">
                  <c:v>2792</c:v>
                </c:pt>
                <c:pt idx="1">
                  <c:v>2802</c:v>
                </c:pt>
                <c:pt idx="2">
                  <c:v>2725</c:v>
                </c:pt>
                <c:pt idx="3">
                  <c:v>3021</c:v>
                </c:pt>
                <c:pt idx="4">
                  <c:v>3144</c:v>
                </c:pt>
                <c:pt idx="5">
                  <c:v>3703</c:v>
                </c:pt>
              </c:numCache>
            </c:numRef>
          </c:val>
          <c:smooth val="0"/>
        </c:ser>
        <c:ser>
          <c:idx val="3"/>
          <c:order val="1"/>
          <c:tx>
            <c:strRef>
              <c:f>Sayfa2!$B$8</c:f>
              <c:strCache>
                <c:ptCount val="1"/>
                <c:pt idx="0">
                  <c:v>Üretim</c:v>
                </c:pt>
              </c:strCache>
            </c:strRef>
          </c:tx>
          <c:spPr>
            <a:ln>
              <a:solidFill>
                <a:schemeClr val="bg1">
                  <a:lumMod val="50000"/>
                </a:schemeClr>
              </a:solidFill>
            </a:ln>
          </c:spPr>
          <c:marker>
            <c:symbol val="square"/>
            <c:size val="7"/>
            <c:spPr>
              <a:solidFill>
                <a:schemeClr val="bg1">
                  <a:lumMod val="50000"/>
                </a:schemeClr>
              </a:solidFill>
              <a:ln>
                <a:solidFill>
                  <a:schemeClr val="bg1">
                    <a:lumMod val="50000"/>
                  </a:schemeClr>
                </a:solidFill>
              </a:ln>
            </c:spPr>
          </c:marker>
          <c:cat>
            <c:numRef>
              <c:f>Sayfa2!$C$4:$M$4</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Sayfa2!$C$8:$H$8</c:f>
              <c:numCache>
                <c:formatCode>General</c:formatCode>
                <c:ptCount val="6"/>
                <c:pt idx="0">
                  <c:v>2400</c:v>
                </c:pt>
                <c:pt idx="1">
                  <c:v>1875</c:v>
                </c:pt>
                <c:pt idx="2">
                  <c:v>1775</c:v>
                </c:pt>
                <c:pt idx="3">
                  <c:v>2400</c:v>
                </c:pt>
                <c:pt idx="4">
                  <c:v>2575</c:v>
                </c:pt>
                <c:pt idx="5">
                  <c:v>2575</c:v>
                </c:pt>
              </c:numCache>
            </c:numRef>
          </c:val>
          <c:smooth val="0"/>
        </c:ser>
        <c:ser>
          <c:idx val="7"/>
          <c:order val="2"/>
          <c:tx>
            <c:strRef>
              <c:f>Sayfa2!$B$12</c:f>
              <c:strCache>
                <c:ptCount val="1"/>
                <c:pt idx="0">
                  <c:v>Tüketim</c:v>
                </c:pt>
              </c:strCache>
            </c:strRef>
          </c:tx>
          <c:spPr>
            <a:ln>
              <a:solidFill>
                <a:schemeClr val="tx1"/>
              </a:solidFill>
            </a:ln>
          </c:spPr>
          <c:marker>
            <c:symbol val="circle"/>
            <c:size val="5"/>
            <c:spPr>
              <a:solidFill>
                <a:schemeClr val="tx1"/>
              </a:solidFill>
              <a:ln>
                <a:solidFill>
                  <a:schemeClr val="tx1"/>
                </a:solidFill>
              </a:ln>
            </c:spPr>
          </c:marker>
          <c:cat>
            <c:numRef>
              <c:f>Sayfa2!$C$4:$M$4</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Sayfa2!$C$12:$H$12</c:f>
              <c:numCache>
                <c:formatCode>General</c:formatCode>
                <c:ptCount val="6"/>
                <c:pt idx="0">
                  <c:v>2015</c:v>
                </c:pt>
                <c:pt idx="1">
                  <c:v>1825</c:v>
                </c:pt>
                <c:pt idx="2">
                  <c:v>1703</c:v>
                </c:pt>
                <c:pt idx="3">
                  <c:v>1665</c:v>
                </c:pt>
                <c:pt idx="4">
                  <c:v>1647</c:v>
                </c:pt>
                <c:pt idx="5">
                  <c:v>1703</c:v>
                </c:pt>
              </c:numCache>
            </c:numRef>
          </c:val>
          <c:smooth val="0"/>
        </c:ser>
        <c:dLbls>
          <c:showLegendKey val="0"/>
          <c:showVal val="0"/>
          <c:showCatName val="0"/>
          <c:showSerName val="0"/>
          <c:showPercent val="0"/>
          <c:showBubbleSize val="0"/>
        </c:dLbls>
        <c:marker val="1"/>
        <c:smooth val="0"/>
        <c:axId val="50766336"/>
        <c:axId val="52636480"/>
      </c:lineChart>
      <c:catAx>
        <c:axId val="50766336"/>
        <c:scaling>
          <c:orientation val="minMax"/>
        </c:scaling>
        <c:delete val="0"/>
        <c:axPos val="b"/>
        <c:majorGridlines>
          <c:spPr>
            <a:ln>
              <a:noFill/>
            </a:ln>
          </c:spPr>
        </c:majorGridlines>
        <c:minorGridlines/>
        <c:title>
          <c:tx>
            <c:rich>
              <a:bodyPr/>
              <a:lstStyle/>
              <a:p>
                <a:pPr>
                  <a:defRPr/>
                </a:pPr>
                <a:r>
                  <a:rPr lang="tr-TR"/>
                  <a:t>Yıllar</a:t>
                </a:r>
              </a:p>
            </c:rich>
          </c:tx>
          <c:layout/>
          <c:overlay val="0"/>
        </c:title>
        <c:numFmt formatCode="General" sourceLinked="1"/>
        <c:majorTickMark val="out"/>
        <c:minorTickMark val="none"/>
        <c:tickLblPos val="nextTo"/>
        <c:crossAx val="52636480"/>
        <c:crosses val="autoZero"/>
        <c:auto val="1"/>
        <c:lblAlgn val="ctr"/>
        <c:lblOffset val="100"/>
        <c:noMultiLvlLbl val="0"/>
      </c:catAx>
      <c:valAx>
        <c:axId val="52636480"/>
        <c:scaling>
          <c:orientation val="minMax"/>
        </c:scaling>
        <c:delete val="0"/>
        <c:axPos val="l"/>
        <c:majorGridlines/>
        <c:title>
          <c:tx>
            <c:rich>
              <a:bodyPr rot="-5400000" vert="horz"/>
              <a:lstStyle/>
              <a:p>
                <a:pPr>
                  <a:defRPr/>
                </a:pPr>
                <a:r>
                  <a:rPr lang="en-US"/>
                  <a:t>Bin</a:t>
                </a:r>
                <a:r>
                  <a:rPr lang="tr-TR"/>
                  <a:t> Ton</a:t>
                </a:r>
                <a:r>
                  <a:rPr lang="en-US"/>
                  <a:t> </a:t>
                </a:r>
              </a:p>
            </c:rich>
          </c:tx>
          <c:layout/>
          <c:overlay val="0"/>
        </c:title>
        <c:numFmt formatCode="General" sourceLinked="1"/>
        <c:majorTickMark val="out"/>
        <c:minorTickMark val="none"/>
        <c:tickLblPos val="nextTo"/>
        <c:crossAx val="50766336"/>
        <c:crosses val="autoZero"/>
        <c:crossBetween val="between"/>
      </c:valAx>
    </c:plotArea>
    <c:legend>
      <c:legendPos val="r"/>
      <c:layout/>
      <c:overlay val="0"/>
    </c:legend>
    <c:plotVisOnly val="1"/>
    <c:dispBlanksAs val="gap"/>
    <c:showDLblsOverMax val="0"/>
  </c:chart>
  <c:spPr>
    <a:ln cmpd="sng">
      <a:noFill/>
    </a:ln>
  </c:spPr>
  <c:txPr>
    <a:bodyPr/>
    <a:lstStyle/>
    <a:p>
      <a:pPr>
        <a:defRPr>
          <a:latin typeface="Times New Roman" panose="02020603050405020304" pitchFamily="18" charset="0"/>
          <a:cs typeface="Times New Roman" panose="02020603050405020304" pitchFamily="18" charset="0"/>
        </a:defRPr>
      </a:pPr>
      <a:endParaRPr lang="tr-T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tr-TR" sz="1200"/>
              <a:t>Ham Petrol Fiyatı</a:t>
            </a:r>
          </a:p>
        </c:rich>
      </c:tx>
      <c:layout/>
      <c:overlay val="0"/>
    </c:title>
    <c:autoTitleDeleted val="0"/>
    <c:plotArea>
      <c:layout>
        <c:manualLayout>
          <c:layoutTarget val="inner"/>
          <c:xMode val="edge"/>
          <c:yMode val="edge"/>
          <c:x val="8.9855802203335403E-2"/>
          <c:y val="9.791171391534173E-2"/>
          <c:w val="0.88612079860673765"/>
          <c:h val="0.62739918096557157"/>
        </c:manualLayout>
      </c:layout>
      <c:lineChart>
        <c:grouping val="standard"/>
        <c:varyColors val="0"/>
        <c:ser>
          <c:idx val="0"/>
          <c:order val="0"/>
          <c:tx>
            <c:v>Ham Petrol Ortalama Fiyat</c:v>
          </c:tx>
          <c:spPr>
            <a:ln>
              <a:solidFill>
                <a:schemeClr val="tx1"/>
              </a:solidFill>
            </a:ln>
          </c:spPr>
          <c:marker>
            <c:symbol val="none"/>
          </c:marker>
          <c:trendline>
            <c:name>12 Aylık Hareketli Ortalama</c:name>
            <c:trendlineType val="movingAvg"/>
            <c:period val="12"/>
            <c:dispRSqr val="0"/>
            <c:dispEq val="0"/>
          </c:trendline>
          <c:cat>
            <c:numRef>
              <c:f>'crude-oil'!$A$27:$A$98</c:f>
              <c:numCache>
                <c:formatCode>mmm\-yy</c:formatCode>
                <c:ptCount val="72"/>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pt idx="12">
                  <c:v>39814</c:v>
                </c:pt>
                <c:pt idx="13">
                  <c:v>39845</c:v>
                </c:pt>
                <c:pt idx="14">
                  <c:v>39873</c:v>
                </c:pt>
                <c:pt idx="15">
                  <c:v>39904</c:v>
                </c:pt>
                <c:pt idx="16">
                  <c:v>39934</c:v>
                </c:pt>
                <c:pt idx="17">
                  <c:v>39965</c:v>
                </c:pt>
                <c:pt idx="18">
                  <c:v>39995</c:v>
                </c:pt>
                <c:pt idx="19">
                  <c:v>40026</c:v>
                </c:pt>
                <c:pt idx="20">
                  <c:v>40057</c:v>
                </c:pt>
                <c:pt idx="21">
                  <c:v>40087</c:v>
                </c:pt>
                <c:pt idx="22">
                  <c:v>40118</c:v>
                </c:pt>
                <c:pt idx="23">
                  <c:v>40148</c:v>
                </c:pt>
                <c:pt idx="24">
                  <c:v>40179</c:v>
                </c:pt>
                <c:pt idx="25">
                  <c:v>40210</c:v>
                </c:pt>
                <c:pt idx="26">
                  <c:v>40238</c:v>
                </c:pt>
                <c:pt idx="27">
                  <c:v>40269</c:v>
                </c:pt>
                <c:pt idx="28">
                  <c:v>40299</c:v>
                </c:pt>
                <c:pt idx="29">
                  <c:v>40330</c:v>
                </c:pt>
                <c:pt idx="30">
                  <c:v>40360</c:v>
                </c:pt>
                <c:pt idx="31">
                  <c:v>40391</c:v>
                </c:pt>
                <c:pt idx="32">
                  <c:v>40422</c:v>
                </c:pt>
                <c:pt idx="33">
                  <c:v>40452</c:v>
                </c:pt>
                <c:pt idx="34">
                  <c:v>40483</c:v>
                </c:pt>
                <c:pt idx="35">
                  <c:v>40513</c:v>
                </c:pt>
                <c:pt idx="36">
                  <c:v>40544</c:v>
                </c:pt>
                <c:pt idx="37">
                  <c:v>40575</c:v>
                </c:pt>
                <c:pt idx="38">
                  <c:v>40603</c:v>
                </c:pt>
                <c:pt idx="39">
                  <c:v>40634</c:v>
                </c:pt>
                <c:pt idx="40">
                  <c:v>40664</c:v>
                </c:pt>
                <c:pt idx="41">
                  <c:v>40695</c:v>
                </c:pt>
                <c:pt idx="42">
                  <c:v>40725</c:v>
                </c:pt>
                <c:pt idx="43">
                  <c:v>40756</c:v>
                </c:pt>
                <c:pt idx="44">
                  <c:v>40787</c:v>
                </c:pt>
                <c:pt idx="45">
                  <c:v>40817</c:v>
                </c:pt>
                <c:pt idx="46">
                  <c:v>40848</c:v>
                </c:pt>
                <c:pt idx="47">
                  <c:v>40878</c:v>
                </c:pt>
                <c:pt idx="48">
                  <c:v>40909</c:v>
                </c:pt>
                <c:pt idx="49">
                  <c:v>40940</c:v>
                </c:pt>
                <c:pt idx="50">
                  <c:v>40969</c:v>
                </c:pt>
                <c:pt idx="51">
                  <c:v>41000</c:v>
                </c:pt>
                <c:pt idx="52">
                  <c:v>41030</c:v>
                </c:pt>
                <c:pt idx="53">
                  <c:v>41061</c:v>
                </c:pt>
                <c:pt idx="54">
                  <c:v>41091</c:v>
                </c:pt>
                <c:pt idx="55">
                  <c:v>41122</c:v>
                </c:pt>
                <c:pt idx="56">
                  <c:v>41153</c:v>
                </c:pt>
                <c:pt idx="57">
                  <c:v>41183</c:v>
                </c:pt>
                <c:pt idx="58">
                  <c:v>41214</c:v>
                </c:pt>
                <c:pt idx="59">
                  <c:v>41244</c:v>
                </c:pt>
                <c:pt idx="60">
                  <c:v>41275</c:v>
                </c:pt>
                <c:pt idx="61">
                  <c:v>41306</c:v>
                </c:pt>
                <c:pt idx="62">
                  <c:v>41334</c:v>
                </c:pt>
                <c:pt idx="63">
                  <c:v>41365</c:v>
                </c:pt>
                <c:pt idx="64">
                  <c:v>41395</c:v>
                </c:pt>
                <c:pt idx="65">
                  <c:v>41426</c:v>
                </c:pt>
                <c:pt idx="66">
                  <c:v>41456</c:v>
                </c:pt>
                <c:pt idx="67">
                  <c:v>41487</c:v>
                </c:pt>
                <c:pt idx="68">
                  <c:v>41518</c:v>
                </c:pt>
                <c:pt idx="69">
                  <c:v>41548</c:v>
                </c:pt>
                <c:pt idx="70">
                  <c:v>41579</c:v>
                </c:pt>
                <c:pt idx="71">
                  <c:v>41609</c:v>
                </c:pt>
              </c:numCache>
            </c:numRef>
          </c:cat>
          <c:val>
            <c:numRef>
              <c:f>'crude-oil'!$B$27:$B$98</c:f>
              <c:numCache>
                <c:formatCode>General</c:formatCode>
                <c:ptCount val="72"/>
                <c:pt idx="0">
                  <c:v>90.82</c:v>
                </c:pt>
                <c:pt idx="1">
                  <c:v>93.75</c:v>
                </c:pt>
                <c:pt idx="2">
                  <c:v>101.84</c:v>
                </c:pt>
                <c:pt idx="3">
                  <c:v>109.05</c:v>
                </c:pt>
                <c:pt idx="4">
                  <c:v>122.77</c:v>
                </c:pt>
                <c:pt idx="5">
                  <c:v>131.52000000000001</c:v>
                </c:pt>
                <c:pt idx="6">
                  <c:v>132.55000000000001</c:v>
                </c:pt>
                <c:pt idx="7">
                  <c:v>114.57</c:v>
                </c:pt>
                <c:pt idx="8">
                  <c:v>99.29</c:v>
                </c:pt>
                <c:pt idx="9">
                  <c:v>72.69</c:v>
                </c:pt>
                <c:pt idx="10">
                  <c:v>54.04</c:v>
                </c:pt>
                <c:pt idx="11">
                  <c:v>41.53</c:v>
                </c:pt>
                <c:pt idx="12">
                  <c:v>43.91</c:v>
                </c:pt>
                <c:pt idx="13">
                  <c:v>41.76</c:v>
                </c:pt>
                <c:pt idx="14">
                  <c:v>46.95</c:v>
                </c:pt>
                <c:pt idx="15">
                  <c:v>50.28</c:v>
                </c:pt>
                <c:pt idx="16">
                  <c:v>58.1</c:v>
                </c:pt>
                <c:pt idx="17">
                  <c:v>69.13</c:v>
                </c:pt>
                <c:pt idx="18">
                  <c:v>64.650000000000006</c:v>
                </c:pt>
                <c:pt idx="19">
                  <c:v>71.63</c:v>
                </c:pt>
                <c:pt idx="20">
                  <c:v>68.38</c:v>
                </c:pt>
                <c:pt idx="21">
                  <c:v>74.08</c:v>
                </c:pt>
                <c:pt idx="22">
                  <c:v>77.56</c:v>
                </c:pt>
                <c:pt idx="23">
                  <c:v>74.88</c:v>
                </c:pt>
                <c:pt idx="24">
                  <c:v>77.12</c:v>
                </c:pt>
                <c:pt idx="25">
                  <c:v>74.72</c:v>
                </c:pt>
                <c:pt idx="26">
                  <c:v>79.3</c:v>
                </c:pt>
                <c:pt idx="27">
                  <c:v>84.14</c:v>
                </c:pt>
                <c:pt idx="28">
                  <c:v>75.540000000000006</c:v>
                </c:pt>
                <c:pt idx="29">
                  <c:v>74.73</c:v>
                </c:pt>
                <c:pt idx="30">
                  <c:v>74.52</c:v>
                </c:pt>
                <c:pt idx="31">
                  <c:v>75.88</c:v>
                </c:pt>
                <c:pt idx="32">
                  <c:v>76.11</c:v>
                </c:pt>
                <c:pt idx="33">
                  <c:v>81.72</c:v>
                </c:pt>
                <c:pt idx="34">
                  <c:v>84.53</c:v>
                </c:pt>
                <c:pt idx="35">
                  <c:v>90.07</c:v>
                </c:pt>
                <c:pt idx="36">
                  <c:v>92.66</c:v>
                </c:pt>
                <c:pt idx="37">
                  <c:v>97.73</c:v>
                </c:pt>
                <c:pt idx="38">
                  <c:v>108.65</c:v>
                </c:pt>
                <c:pt idx="39">
                  <c:v>116.32</c:v>
                </c:pt>
                <c:pt idx="40">
                  <c:v>108.18</c:v>
                </c:pt>
                <c:pt idx="41">
                  <c:v>105.85</c:v>
                </c:pt>
                <c:pt idx="42">
                  <c:v>107.88</c:v>
                </c:pt>
                <c:pt idx="43">
                  <c:v>100.45</c:v>
                </c:pt>
                <c:pt idx="44">
                  <c:v>100.83</c:v>
                </c:pt>
                <c:pt idx="45">
                  <c:v>99.92</c:v>
                </c:pt>
                <c:pt idx="46">
                  <c:v>105.36</c:v>
                </c:pt>
                <c:pt idx="47">
                  <c:v>104.26</c:v>
                </c:pt>
                <c:pt idx="48">
                  <c:v>106.89</c:v>
                </c:pt>
                <c:pt idx="49">
                  <c:v>112.7</c:v>
                </c:pt>
                <c:pt idx="50">
                  <c:v>117.79</c:v>
                </c:pt>
                <c:pt idx="51">
                  <c:v>113.75</c:v>
                </c:pt>
                <c:pt idx="52">
                  <c:v>104.16</c:v>
                </c:pt>
                <c:pt idx="53">
                  <c:v>90.73</c:v>
                </c:pt>
                <c:pt idx="54">
                  <c:v>96.75</c:v>
                </c:pt>
                <c:pt idx="55">
                  <c:v>105.28</c:v>
                </c:pt>
                <c:pt idx="56">
                  <c:v>106.32</c:v>
                </c:pt>
                <c:pt idx="57">
                  <c:v>103.39</c:v>
                </c:pt>
                <c:pt idx="58">
                  <c:v>101.17</c:v>
                </c:pt>
                <c:pt idx="59">
                  <c:v>101.17</c:v>
                </c:pt>
                <c:pt idx="60">
                  <c:v>105.04</c:v>
                </c:pt>
                <c:pt idx="61">
                  <c:v>107.66</c:v>
                </c:pt>
                <c:pt idx="62">
                  <c:v>102.61</c:v>
                </c:pt>
                <c:pt idx="63">
                  <c:v>98.85</c:v>
                </c:pt>
                <c:pt idx="64">
                  <c:v>99.35</c:v>
                </c:pt>
                <c:pt idx="65">
                  <c:v>99.74</c:v>
                </c:pt>
                <c:pt idx="66">
                  <c:v>105.21</c:v>
                </c:pt>
                <c:pt idx="67">
                  <c:v>108.06</c:v>
                </c:pt>
                <c:pt idx="68">
                  <c:v>108.78</c:v>
                </c:pt>
                <c:pt idx="69">
                  <c:v>105.46</c:v>
                </c:pt>
                <c:pt idx="70">
                  <c:v>102.58</c:v>
                </c:pt>
                <c:pt idx="71">
                  <c:v>105.49</c:v>
                </c:pt>
              </c:numCache>
            </c:numRef>
          </c:val>
          <c:smooth val="0"/>
        </c:ser>
        <c:dLbls>
          <c:showLegendKey val="0"/>
          <c:showVal val="0"/>
          <c:showCatName val="0"/>
          <c:showSerName val="0"/>
          <c:showPercent val="0"/>
          <c:showBubbleSize val="0"/>
        </c:dLbls>
        <c:marker val="1"/>
        <c:smooth val="0"/>
        <c:axId val="50767872"/>
        <c:axId val="52635328"/>
      </c:lineChart>
      <c:dateAx>
        <c:axId val="50767872"/>
        <c:scaling>
          <c:orientation val="minMax"/>
        </c:scaling>
        <c:delete val="0"/>
        <c:axPos val="b"/>
        <c:numFmt formatCode="mmm\-yy" sourceLinked="1"/>
        <c:majorTickMark val="out"/>
        <c:minorTickMark val="none"/>
        <c:tickLblPos val="nextTo"/>
        <c:crossAx val="52635328"/>
        <c:crosses val="autoZero"/>
        <c:auto val="1"/>
        <c:lblOffset val="100"/>
        <c:baseTimeUnit val="months"/>
      </c:dateAx>
      <c:valAx>
        <c:axId val="52635328"/>
        <c:scaling>
          <c:orientation val="minMax"/>
          <c:min val="40"/>
        </c:scaling>
        <c:delete val="0"/>
        <c:axPos val="l"/>
        <c:majorGridlines/>
        <c:title>
          <c:tx>
            <c:rich>
              <a:bodyPr rot="-5400000" vert="horz"/>
              <a:lstStyle/>
              <a:p>
                <a:pPr>
                  <a:defRPr/>
                </a:pPr>
                <a:r>
                  <a:rPr lang="en-US"/>
                  <a:t>ABD Doları/Varil</a:t>
                </a:r>
              </a:p>
            </c:rich>
          </c:tx>
          <c:layout/>
          <c:overlay val="0"/>
        </c:title>
        <c:numFmt formatCode="General" sourceLinked="1"/>
        <c:majorTickMark val="out"/>
        <c:minorTickMark val="none"/>
        <c:tickLblPos val="nextTo"/>
        <c:crossAx val="50767872"/>
        <c:crosses val="autoZero"/>
        <c:crossBetween val="between"/>
        <c:majorUnit val="5"/>
      </c:valAx>
    </c:plotArea>
    <c:legend>
      <c:legendPos val="b"/>
      <c:layout/>
      <c:overlay val="0"/>
    </c:legend>
    <c:plotVisOnly val="1"/>
    <c:dispBlanksAs val="gap"/>
    <c:showDLblsOverMax val="0"/>
  </c:chart>
  <c:spPr>
    <a:noFill/>
    <a:ln w="31750" cmpd="dbl">
      <a:solidFill>
        <a:schemeClr val="tx1"/>
      </a:solidFill>
      <a:prstDash val="solid"/>
    </a:ln>
  </c:spPr>
  <c:txPr>
    <a:bodyPr/>
    <a:lstStyle/>
    <a:p>
      <a:pPr>
        <a:defRPr>
          <a:latin typeface="Times New Roman" pitchFamily="18" charset="0"/>
          <a:cs typeface="Times New Roman" pitchFamily="18" charset="0"/>
        </a:defRPr>
      </a:pPr>
      <a:endParaRPr lang="tr-TR"/>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0.39073</cdr:x>
      <cdr:y>0.94286</cdr:y>
    </cdr:from>
    <cdr:to>
      <cdr:x>0.98992</cdr:x>
      <cdr:y>1</cdr:y>
    </cdr:to>
    <cdr:sp macro="" textlink="">
      <cdr:nvSpPr>
        <cdr:cNvPr id="2" name="Metin Kutusu 1"/>
        <cdr:cNvSpPr txBox="1"/>
      </cdr:nvSpPr>
      <cdr:spPr>
        <a:xfrm xmlns:a="http://schemas.openxmlformats.org/drawingml/2006/main">
          <a:off x="2247909" y="3143250"/>
          <a:ext cx="3447200"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tr-TR" sz="800">
              <a:latin typeface="Times New Roman" panose="02020603050405020304" pitchFamily="18" charset="0"/>
              <a:cs typeface="Times New Roman" panose="02020603050405020304" pitchFamily="18" charset="0"/>
            </a:rPr>
            <a:t>Orta</a:t>
          </a:r>
          <a:r>
            <a:rPr lang="tr-TR" sz="800" baseline="0">
              <a:latin typeface="Times New Roman" panose="02020603050405020304" pitchFamily="18" charset="0"/>
              <a:cs typeface="Times New Roman" panose="02020603050405020304" pitchFamily="18" charset="0"/>
            </a:rPr>
            <a:t> Petrol Senaryosu, son güncelleme 1/12/2012. </a:t>
          </a:r>
          <a:r>
            <a:rPr lang="tr-TR" sz="800">
              <a:latin typeface="Times New Roman" panose="02020603050405020304" pitchFamily="18" charset="0"/>
              <a:cs typeface="Times New Roman" panose="02020603050405020304" pitchFamily="18" charset="0"/>
            </a:rPr>
            <a:t>30/3/2013, Nexant Inc.</a:t>
          </a:r>
        </a:p>
      </cdr:txBody>
    </cdr:sp>
  </cdr:relSizeAnchor>
</c:userShape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Nex13</b:Tag>
    <b:SourceType>InternetSite</b:SourceType>
    <b:Guid>{4EEC5701-A8C8-4567-952B-8C6CD7BB9406}</b:Guid>
    <b:Title>PERP Program -  Terephthalic Acid</b:Title>
    <b:Author>
      <b:Author>
        <b:Corporate>Nexant - Chem Systems</b:Corporate>
      </b:Author>
    </b:Author>
    <b:InternetSiteTitle>http://www.chemsystems.com/</b:InternetSiteTitle>
    <b:YearAccessed>2013</b:YearAccessed>
    <b:MonthAccessed>5</b:MonthAccessed>
    <b:DayAccessed>20</b:DayAccessed>
    <b:URL>http://www.chemsystems.com/about/cs/news/items/PERP%200910_6_PTA.cfm</b:URL>
    <b:RefOrder>1</b:RefOrder>
  </b:Source>
  <b:Source>
    <b:Tag>Sok13</b:Tag>
    <b:SourceType>InternetSite</b:SourceType>
    <b:Guid>{9551E6ED-3A5B-4A44-827B-386B8E3F159D}</b:Guid>
    <b:Author>
      <b:Author>
        <b:NameList>
          <b:Person>
            <b:Last>Chua</b:Last>
            <b:First>Sok</b:First>
            <b:Middle>Peng</b:Middle>
          </b:Person>
        </b:NameList>
      </b:Author>
    </b:Author>
    <b:Title>China’s PTA industry: a victim of its own success</b:Title>
    <b:InternetSiteTitle>Platts McGraw Hill Financial</b:InternetSiteTitle>
    <b:Year>2013</b:Year>
    <b:Month>2</b:Month>
    <b:Day>8</b:Day>
    <b:YearAccessed>2013</b:YearAccessed>
    <b:MonthAccessed>8</b:MonthAccessed>
    <b:DayAccessed>26</b:DayAccessed>
    <b:URL>http://blogs.platts.com/2013/02/08/china-pta/</b:URL>
    <b:RefOrder>2</b:RefOrder>
  </b:Source>
</b:Sources>
</file>

<file path=customXml/itemProps1.xml><?xml version="1.0" encoding="utf-8"?>
<ds:datastoreItem xmlns:ds="http://schemas.openxmlformats.org/officeDocument/2006/customXml" ds:itemID="{0C77F137-CA15-4A17-BA10-8A6F811B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24</Pages>
  <Words>8836</Words>
  <Characters>50366</Characters>
  <Application>Microsoft Office Word</Application>
  <DocSecurity>0</DocSecurity>
  <Lines>419</Lines>
  <Paragraphs>118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GÜREŞCİ</dc:creator>
  <cp:lastModifiedBy>Burak GÜREŞCİ</cp:lastModifiedBy>
  <cp:revision>10</cp:revision>
  <cp:lastPrinted>2014-03-27T16:59:00Z</cp:lastPrinted>
  <dcterms:created xsi:type="dcterms:W3CDTF">2014-04-11T08:14:00Z</dcterms:created>
  <dcterms:modified xsi:type="dcterms:W3CDTF">2014-04-11T14:58:00Z</dcterms:modified>
</cp:coreProperties>
</file>